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A3" w:rsidRPr="0027512E" w:rsidRDefault="002F5F78" w:rsidP="002F5F78">
      <w:pPr>
        <w:ind w:firstLineChars="350" w:firstLine="1540"/>
        <w:rPr>
          <w:rFonts w:ascii="黑体" w:eastAsia="黑体" w:hAnsi="黑体"/>
          <w:sz w:val="44"/>
          <w:szCs w:val="44"/>
        </w:rPr>
      </w:pPr>
      <w:r w:rsidRPr="0027512E">
        <w:rPr>
          <w:rFonts w:ascii="黑体" w:eastAsia="黑体" w:hAnsi="黑体" w:hint="eastAsia"/>
          <w:sz w:val="44"/>
          <w:szCs w:val="44"/>
        </w:rPr>
        <w:t>大型仪器</w:t>
      </w:r>
      <w:r w:rsidR="00712CA1" w:rsidRPr="0027512E">
        <w:rPr>
          <w:rFonts w:ascii="黑体" w:eastAsia="黑体" w:hAnsi="黑体" w:hint="eastAsia"/>
          <w:sz w:val="44"/>
          <w:szCs w:val="44"/>
        </w:rPr>
        <w:t>对外</w:t>
      </w:r>
      <w:r w:rsidRPr="0027512E">
        <w:rPr>
          <w:rFonts w:ascii="黑体" w:eastAsia="黑体" w:hAnsi="黑体" w:hint="eastAsia"/>
          <w:sz w:val="44"/>
          <w:szCs w:val="44"/>
        </w:rPr>
        <w:t>共享服务制度</w:t>
      </w:r>
    </w:p>
    <w:p w:rsidR="00712CA1" w:rsidRPr="004476CE" w:rsidRDefault="00270CA8" w:rsidP="00712CA1">
      <w:pPr>
        <w:widowControl/>
        <w:spacing w:line="300" w:lineRule="atLeast"/>
        <w:jc w:val="left"/>
        <w:rPr>
          <w:rFonts w:ascii="黑体" w:eastAsia="黑体" w:hAnsi="黑体" w:cs="宋体"/>
          <w:color w:val="666666"/>
          <w:kern w:val="0"/>
          <w:sz w:val="30"/>
          <w:szCs w:val="30"/>
        </w:rPr>
      </w:pPr>
      <w:r w:rsidRPr="0027512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　</w:t>
      </w:r>
      <w:r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为</w:t>
      </w:r>
      <w:r w:rsidR="00712CA1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加强</w:t>
      </w:r>
      <w:r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河北省大型仪器设备</w:t>
      </w:r>
      <w:r w:rsidR="00712CA1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仪器设备</w:t>
      </w:r>
      <w:r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资源开放服务平台</w:t>
      </w:r>
      <w:r w:rsidR="009E55F2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的</w:t>
      </w:r>
      <w:r w:rsidR="00712CA1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管理，进一步</w:t>
      </w:r>
      <w:r w:rsidR="009E55F2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提升大型</w:t>
      </w:r>
      <w:r w:rsidR="007678B3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仪器设备使用效益，提升服务质量，</w:t>
      </w:r>
      <w:r w:rsidR="00712CA1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特制定本</w:t>
      </w:r>
      <w:r w:rsidR="007678B3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此制度</w:t>
      </w:r>
      <w:r w:rsidR="00712CA1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。</w:t>
      </w:r>
    </w:p>
    <w:p w:rsidR="00712CA1" w:rsidRPr="004476CE" w:rsidRDefault="00712CA1" w:rsidP="007678B3">
      <w:pPr>
        <w:pStyle w:val="a6"/>
        <w:widowControl/>
        <w:numPr>
          <w:ilvl w:val="0"/>
          <w:numId w:val="1"/>
        </w:numPr>
        <w:spacing w:line="300" w:lineRule="atLeast"/>
        <w:ind w:firstLineChars="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中心</w:t>
      </w:r>
      <w:r w:rsidR="007678B3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平台</w:t>
      </w:r>
      <w:r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为</w:t>
      </w:r>
      <w:r w:rsidR="007678B3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所属的仪器设备管理及使用部门，负责仪器的技术、管理、维护和维修等相关事宜，面向所</w:t>
      </w:r>
      <w:r w:rsidR="009D0FB0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外开放，并保证开放服务的质量。</w:t>
      </w:r>
      <w:r w:rsidR="00E41B67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此平台只接受正规科研</w:t>
      </w:r>
      <w:r w:rsidR="009D0FB0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研究、</w:t>
      </w:r>
      <w:r w:rsidR="00E41B67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检测</w:t>
      </w:r>
      <w:r w:rsidR="009D0FB0" w:rsidRPr="004476C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，严禁任何非法实验检测。</w:t>
      </w:r>
    </w:p>
    <w:p w:rsidR="007678B3" w:rsidRPr="004476CE" w:rsidRDefault="007678B3" w:rsidP="007678B3">
      <w:pPr>
        <w:pStyle w:val="a6"/>
        <w:widowControl/>
        <w:numPr>
          <w:ilvl w:val="0"/>
          <w:numId w:val="1"/>
        </w:numPr>
        <w:spacing w:line="300" w:lineRule="atLeast"/>
        <w:ind w:firstLineChars="0"/>
        <w:jc w:val="left"/>
        <w:rPr>
          <w:rFonts w:ascii="黑体" w:eastAsia="黑体" w:hAnsi="黑体" w:cs="宋体"/>
          <w:b/>
          <w:color w:val="666666"/>
          <w:kern w:val="0"/>
          <w:sz w:val="30"/>
          <w:szCs w:val="30"/>
        </w:rPr>
      </w:pPr>
      <w:r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仪器设备对外服务需执行预约登记制度，</w:t>
      </w:r>
      <w:r w:rsidR="008659DD"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所有仪器使用前需到中心平台进行</w:t>
      </w:r>
      <w:r w:rsidR="00F17768"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申请，</w:t>
      </w:r>
      <w:r w:rsidR="00644AD5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经批准后填写服务记录表后办理</w:t>
      </w:r>
      <w:r w:rsidR="00F17768"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相应的使用手续</w:t>
      </w:r>
      <w:r w:rsidR="00644AD5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方可预约使用。仪器使用完毕填写大型仪器对外服务满意度评价表</w:t>
      </w:r>
      <w:r w:rsidR="00FC0F99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对此次服务做最终评鉴</w:t>
      </w:r>
      <w:r w:rsidR="00644AD5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。</w:t>
      </w:r>
      <w:r w:rsidR="00F17768"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严禁管理人私自使用仪器对外服务。</w:t>
      </w:r>
    </w:p>
    <w:p w:rsidR="0027512E" w:rsidRPr="004476CE" w:rsidRDefault="002D49D3" w:rsidP="007678B3">
      <w:pPr>
        <w:pStyle w:val="a6"/>
        <w:widowControl/>
        <w:numPr>
          <w:ilvl w:val="0"/>
          <w:numId w:val="1"/>
        </w:numPr>
        <w:spacing w:line="300" w:lineRule="atLeast"/>
        <w:ind w:firstLineChars="0"/>
        <w:jc w:val="left"/>
        <w:rPr>
          <w:rFonts w:ascii="黑体" w:eastAsia="黑体" w:hAnsi="黑体" w:cs="宋体"/>
          <w:b/>
          <w:color w:val="666666"/>
          <w:kern w:val="0"/>
          <w:sz w:val="30"/>
          <w:szCs w:val="30"/>
        </w:rPr>
      </w:pPr>
      <w:r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所有仪器对外服务有常使用服务的原则：</w:t>
      </w:r>
    </w:p>
    <w:p w:rsidR="002D49D3" w:rsidRPr="004476CE" w:rsidRDefault="002D49D3" w:rsidP="002D49D3">
      <w:pPr>
        <w:pStyle w:val="a6"/>
        <w:widowControl/>
        <w:spacing w:line="300" w:lineRule="atLeast"/>
        <w:ind w:left="1020" w:firstLineChars="0" w:firstLine="0"/>
        <w:jc w:val="left"/>
        <w:rPr>
          <w:rFonts w:ascii="黑体" w:eastAsia="黑体" w:hAnsi="黑体" w:cs="宋体"/>
          <w:b/>
          <w:color w:val="666666"/>
          <w:kern w:val="0"/>
          <w:sz w:val="30"/>
          <w:szCs w:val="30"/>
        </w:rPr>
      </w:pPr>
      <w:r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样品前期处理所使用实验室的耗材、上机使用、实验结果处理及整理、</w:t>
      </w:r>
      <w:r w:rsidR="003E67AF"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仪器使用必备耗材</w:t>
      </w:r>
      <w:r w:rsidR="00FE7A4A"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、试剂</w:t>
      </w:r>
      <w:r w:rsidR="003E67AF"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及配件等。</w:t>
      </w:r>
    </w:p>
    <w:p w:rsidR="009D0FB0" w:rsidRPr="004476CE" w:rsidRDefault="009D0FB0" w:rsidP="009D0FB0">
      <w:pPr>
        <w:pStyle w:val="a6"/>
        <w:widowControl/>
        <w:numPr>
          <w:ilvl w:val="0"/>
          <w:numId w:val="1"/>
        </w:numPr>
        <w:spacing w:line="300" w:lineRule="atLeast"/>
        <w:ind w:firstLineChars="0"/>
        <w:jc w:val="left"/>
        <w:rPr>
          <w:rFonts w:ascii="黑体" w:eastAsia="黑体" w:hAnsi="黑体" w:cs="宋体"/>
          <w:b/>
          <w:color w:val="666666"/>
          <w:kern w:val="0"/>
          <w:sz w:val="30"/>
          <w:szCs w:val="30"/>
        </w:rPr>
      </w:pPr>
      <w:r w:rsidRPr="004476CE">
        <w:rPr>
          <w:rFonts w:ascii="黑体" w:eastAsia="黑体" w:hAnsi="黑体" w:cs="宋体" w:hint="eastAsia"/>
          <w:b/>
          <w:color w:val="666666"/>
          <w:kern w:val="0"/>
          <w:sz w:val="30"/>
          <w:szCs w:val="30"/>
        </w:rPr>
        <w:t>所有对外服务使用均有管理人员上机进行，其他人员不得随意使用操作。</w:t>
      </w:r>
    </w:p>
    <w:p w:rsidR="005C7EFA" w:rsidRDefault="00DC6B1D" w:rsidP="005C7EFA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Arial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外来人员</w:t>
      </w:r>
      <w:r w:rsidR="004476CE" w:rsidRPr="005C7EFA">
        <w:rPr>
          <w:rFonts w:ascii="黑体" w:eastAsia="黑体" w:hAnsi="黑体" w:hint="eastAsia"/>
          <w:sz w:val="30"/>
          <w:szCs w:val="30"/>
        </w:rPr>
        <w:t>严格遵守实验室各项制度，进入实验室必须穿戴长袖防护服，</w:t>
      </w:r>
      <w:r w:rsidR="004476CE" w:rsidRPr="005C7EFA">
        <w:rPr>
          <w:rFonts w:ascii="黑体" w:eastAsia="黑体" w:hAnsi="黑体" w:cs="Arial"/>
          <w:color w:val="333333"/>
          <w:sz w:val="30"/>
          <w:szCs w:val="30"/>
        </w:rPr>
        <w:t>做实验时要有</w:t>
      </w:r>
      <w:r w:rsidR="004476CE" w:rsidRPr="005C7EFA">
        <w:rPr>
          <w:rFonts w:ascii="黑体" w:eastAsia="黑体" w:hAnsi="黑体" w:cs="Arial" w:hint="eastAsia"/>
          <w:color w:val="333333"/>
          <w:sz w:val="30"/>
          <w:szCs w:val="30"/>
        </w:rPr>
        <w:t>必要的</w:t>
      </w:r>
      <w:r w:rsidR="004476CE" w:rsidRPr="005C7EFA">
        <w:rPr>
          <w:rFonts w:ascii="黑体" w:eastAsia="黑体" w:hAnsi="黑体" w:cs="Arial"/>
          <w:color w:val="333333"/>
          <w:sz w:val="30"/>
          <w:szCs w:val="30"/>
        </w:rPr>
        <w:t>安全措施</w:t>
      </w:r>
      <w:r w:rsidR="004476CE" w:rsidRPr="005C7EFA">
        <w:rPr>
          <w:rFonts w:ascii="黑体" w:eastAsia="黑体" w:hAnsi="黑体" w:hint="eastAsia"/>
          <w:sz w:val="30"/>
          <w:szCs w:val="30"/>
        </w:rPr>
        <w:t>。禁止将饮料、食品带入实验室，实验室内禁止饮食。</w:t>
      </w:r>
      <w:r w:rsidR="004476CE" w:rsidRPr="005C7EFA">
        <w:rPr>
          <w:rFonts w:ascii="黑体" w:eastAsia="黑体" w:hAnsi="黑体" w:cs="Arial"/>
          <w:color w:val="333333"/>
          <w:sz w:val="30"/>
          <w:szCs w:val="30"/>
        </w:rPr>
        <w:t>注意人身及设备的安全，</w:t>
      </w:r>
      <w:r w:rsidR="00A73F23" w:rsidRPr="005C7EFA">
        <w:rPr>
          <w:rFonts w:ascii="黑体" w:eastAsia="黑体" w:hAnsi="黑体" w:cs="Arial"/>
          <w:color w:val="333333"/>
          <w:sz w:val="30"/>
          <w:szCs w:val="30"/>
        </w:rPr>
        <w:t>实验室内禁止使用明火，确因需要使用</w:t>
      </w:r>
      <w:r w:rsidR="00A73F23" w:rsidRPr="005C7EFA">
        <w:rPr>
          <w:rFonts w:ascii="黑体" w:eastAsia="黑体" w:hAnsi="黑体" w:cs="Arial"/>
          <w:color w:val="333333"/>
          <w:sz w:val="30"/>
          <w:szCs w:val="30"/>
        </w:rPr>
        <w:lastRenderedPageBreak/>
        <w:t>明火时需向安全员通报并得到许可，采取防火措施后方可使用。如遇火警，除应立即采取必要的消防措施组织灭火外，应马上报警</w:t>
      </w:r>
      <w:r w:rsidR="00A73F23" w:rsidRPr="005C7EFA">
        <w:rPr>
          <w:rFonts w:ascii="黑体" w:eastAsia="黑体" w:hAnsi="黑体" w:cs="Arial"/>
          <w:sz w:val="30"/>
          <w:szCs w:val="30"/>
        </w:rPr>
        <w:t>，同时</w:t>
      </w:r>
      <w:r w:rsidR="00A73F23" w:rsidRPr="005C7EFA">
        <w:rPr>
          <w:rFonts w:ascii="黑体" w:eastAsia="黑体" w:hAnsi="黑体" w:cs="Arial" w:hint="eastAsia"/>
          <w:sz w:val="30"/>
          <w:szCs w:val="30"/>
        </w:rPr>
        <w:t>向管理人员</w:t>
      </w:r>
      <w:r w:rsidR="00A73F23" w:rsidRPr="005C7EFA">
        <w:rPr>
          <w:rFonts w:ascii="黑体" w:eastAsia="黑体" w:hAnsi="黑体" w:cs="Arial"/>
          <w:sz w:val="30"/>
          <w:szCs w:val="30"/>
        </w:rPr>
        <w:t>报告。</w:t>
      </w:r>
    </w:p>
    <w:p w:rsidR="005C7EFA" w:rsidRPr="00961771" w:rsidRDefault="005C7EFA" w:rsidP="005C7EFA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Arial"/>
          <w:sz w:val="30"/>
          <w:szCs w:val="30"/>
        </w:rPr>
      </w:pPr>
      <w:r w:rsidRPr="00961771">
        <w:rPr>
          <w:rFonts w:ascii="黑体" w:eastAsia="黑体" w:hAnsi="黑体" w:cs="Arial"/>
          <w:color w:val="333333"/>
          <w:sz w:val="30"/>
          <w:szCs w:val="30"/>
        </w:rPr>
        <w:t>实验前</w:t>
      </w:r>
      <w:r w:rsidRPr="00961771">
        <w:rPr>
          <w:rFonts w:ascii="黑体" w:eastAsia="黑体" w:hAnsi="黑体" w:cs="Arial" w:hint="eastAsia"/>
          <w:color w:val="333333"/>
          <w:sz w:val="30"/>
          <w:szCs w:val="30"/>
        </w:rPr>
        <w:t>管理人员需进行</w:t>
      </w:r>
      <w:r w:rsidR="009D0FB0" w:rsidRPr="00961771">
        <w:rPr>
          <w:rFonts w:ascii="黑体" w:eastAsia="黑体" w:hAnsi="黑体" w:cs="Arial"/>
          <w:color w:val="333333"/>
          <w:sz w:val="30"/>
          <w:szCs w:val="30"/>
        </w:rPr>
        <w:t>全面的安全检查，</w:t>
      </w:r>
      <w:r w:rsidR="002F61BE">
        <w:rPr>
          <w:rFonts w:ascii="黑体" w:eastAsia="黑体" w:hAnsi="黑体" w:cs="Arial" w:hint="eastAsia"/>
          <w:color w:val="333333"/>
          <w:sz w:val="30"/>
          <w:szCs w:val="30"/>
        </w:rPr>
        <w:t>仪器</w:t>
      </w:r>
      <w:r w:rsidR="002F61BE">
        <w:rPr>
          <w:rFonts w:ascii="黑体" w:eastAsia="黑体" w:hAnsi="黑体" w:cs="Arial"/>
          <w:color w:val="333333"/>
          <w:sz w:val="30"/>
          <w:szCs w:val="30"/>
        </w:rPr>
        <w:t>运行中</w:t>
      </w:r>
      <w:r w:rsidR="009D0FB0" w:rsidRPr="00961771">
        <w:rPr>
          <w:rFonts w:ascii="黑体" w:eastAsia="黑体" w:hAnsi="黑体" w:cs="Arial"/>
          <w:color w:val="333333"/>
          <w:sz w:val="30"/>
          <w:szCs w:val="30"/>
        </w:rPr>
        <w:t>设备现场不能无人监守，</w:t>
      </w:r>
      <w:r w:rsidRPr="00961771">
        <w:rPr>
          <w:rFonts w:ascii="黑体" w:eastAsia="黑体" w:hAnsi="黑体" w:hint="eastAsia"/>
          <w:sz w:val="32"/>
          <w:szCs w:val="32"/>
        </w:rPr>
        <w:t>凡故意带走、损坏、丢失仪器设备、配件及实验室内物品的，一经核实，一律按</w:t>
      </w:r>
      <w:r w:rsidR="002F61BE">
        <w:rPr>
          <w:rFonts w:ascii="黑体" w:eastAsia="黑体" w:hAnsi="黑体" w:hint="eastAsia"/>
          <w:sz w:val="32"/>
          <w:szCs w:val="32"/>
        </w:rPr>
        <w:t>所赔偿</w:t>
      </w:r>
      <w:r w:rsidRPr="00961771">
        <w:rPr>
          <w:rFonts w:ascii="黑体" w:eastAsia="黑体" w:hAnsi="黑体" w:hint="eastAsia"/>
          <w:sz w:val="32"/>
          <w:szCs w:val="32"/>
        </w:rPr>
        <w:t>规定等价赔偿，</w:t>
      </w:r>
    </w:p>
    <w:p w:rsidR="00961771" w:rsidRPr="00961771" w:rsidRDefault="005C7EFA" w:rsidP="00961771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Arial"/>
          <w:sz w:val="30"/>
          <w:szCs w:val="30"/>
        </w:rPr>
      </w:pPr>
      <w:r w:rsidRPr="005C7EFA">
        <w:rPr>
          <w:rFonts w:ascii="黑体" w:eastAsia="黑体" w:hAnsi="黑体" w:hint="eastAsia"/>
          <w:sz w:val="32"/>
          <w:szCs w:val="32"/>
        </w:rPr>
        <w:t>实验中产生的废水、废液、废弃耗材，需进行严格的分类处理，废液及废水需倒入</w:t>
      </w:r>
      <w:r>
        <w:rPr>
          <w:rFonts w:ascii="黑体" w:eastAsia="黑体" w:hAnsi="黑体" w:hint="eastAsia"/>
          <w:sz w:val="32"/>
          <w:szCs w:val="32"/>
        </w:rPr>
        <w:t>指定的</w:t>
      </w:r>
      <w:r w:rsidRPr="005C7EFA">
        <w:rPr>
          <w:rFonts w:ascii="黑体" w:eastAsia="黑体" w:hAnsi="黑体" w:hint="eastAsia"/>
          <w:sz w:val="32"/>
          <w:szCs w:val="32"/>
        </w:rPr>
        <w:t>废液缸内，固体废弃物倒入指定的垃圾桶内，严禁二次污染。</w:t>
      </w:r>
    </w:p>
    <w:p w:rsidR="00961771" w:rsidRPr="00961771" w:rsidRDefault="00961771" w:rsidP="00961771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Arial"/>
          <w:sz w:val="30"/>
          <w:szCs w:val="30"/>
        </w:rPr>
      </w:pPr>
      <w:r w:rsidRPr="005C7EFA">
        <w:rPr>
          <w:rFonts w:ascii="黑体" w:eastAsia="黑体" w:hAnsi="黑体" w:cs="Arial"/>
          <w:color w:val="333333"/>
          <w:sz w:val="30"/>
          <w:szCs w:val="30"/>
        </w:rPr>
        <w:t>实验完毕离开实验室之前要关好门窗，切断电源、水源、气源和火源，检查无误后方可离人。</w:t>
      </w:r>
    </w:p>
    <w:p w:rsidR="00961771" w:rsidRDefault="00961771" w:rsidP="00961771">
      <w:pPr>
        <w:rPr>
          <w:rFonts w:ascii="黑体" w:eastAsia="黑体" w:hAnsi="黑体" w:cs="Arial"/>
          <w:sz w:val="30"/>
          <w:szCs w:val="30"/>
        </w:rPr>
      </w:pPr>
    </w:p>
    <w:p w:rsidR="00961771" w:rsidRDefault="00961771" w:rsidP="00961771">
      <w:pPr>
        <w:rPr>
          <w:rFonts w:ascii="黑体" w:eastAsia="黑体" w:hAnsi="黑体" w:cs="Arial"/>
          <w:sz w:val="30"/>
          <w:szCs w:val="30"/>
        </w:rPr>
      </w:pPr>
    </w:p>
    <w:p w:rsidR="00961771" w:rsidRDefault="00961771" w:rsidP="00961771">
      <w:pPr>
        <w:rPr>
          <w:rFonts w:ascii="黑体" w:eastAsia="黑体" w:hAnsi="黑体" w:cs="Arial"/>
          <w:sz w:val="30"/>
          <w:szCs w:val="30"/>
        </w:rPr>
      </w:pPr>
      <w:r>
        <w:rPr>
          <w:rFonts w:ascii="黑体" w:eastAsia="黑体" w:hAnsi="黑体" w:cs="Arial" w:hint="eastAsia"/>
          <w:sz w:val="30"/>
          <w:szCs w:val="30"/>
        </w:rPr>
        <w:t xml:space="preserve">                                        植保研究所</w:t>
      </w:r>
    </w:p>
    <w:p w:rsidR="00961771" w:rsidRPr="00961771" w:rsidRDefault="00961771" w:rsidP="00961771">
      <w:pPr>
        <w:ind w:firstLineChars="2150" w:firstLine="6450"/>
        <w:rPr>
          <w:rFonts w:ascii="黑体" w:eastAsia="黑体" w:hAnsi="黑体" w:cs="Arial"/>
          <w:sz w:val="30"/>
          <w:szCs w:val="30"/>
        </w:rPr>
      </w:pPr>
      <w:r>
        <w:rPr>
          <w:rFonts w:ascii="黑体" w:eastAsia="黑体" w:hAnsi="黑体" w:cs="Arial" w:hint="eastAsia"/>
          <w:sz w:val="30"/>
          <w:szCs w:val="30"/>
        </w:rPr>
        <w:t>4月11号</w:t>
      </w:r>
    </w:p>
    <w:p w:rsidR="009D0FB0" w:rsidRPr="005C7EFA" w:rsidRDefault="009D0FB0" w:rsidP="00961771">
      <w:pPr>
        <w:pStyle w:val="a6"/>
        <w:ind w:left="1020" w:firstLineChars="0" w:firstLine="0"/>
        <w:rPr>
          <w:rFonts w:ascii="黑体" w:eastAsia="黑体" w:hAnsi="黑体" w:cs="Arial"/>
          <w:sz w:val="30"/>
          <w:szCs w:val="30"/>
        </w:rPr>
      </w:pPr>
    </w:p>
    <w:p w:rsidR="005C7EFA" w:rsidRPr="005C7EFA" w:rsidRDefault="005C7EFA" w:rsidP="00961771">
      <w:pPr>
        <w:pStyle w:val="a6"/>
        <w:ind w:left="1020" w:firstLineChars="0" w:firstLine="0"/>
        <w:rPr>
          <w:rFonts w:ascii="黑体" w:eastAsia="黑体" w:hAnsi="黑体" w:cs="Arial"/>
          <w:sz w:val="30"/>
          <w:szCs w:val="30"/>
        </w:rPr>
      </w:pPr>
    </w:p>
    <w:p w:rsidR="009D0FB0" w:rsidRPr="005C7EFA" w:rsidRDefault="009D0FB0" w:rsidP="002D49D3">
      <w:pPr>
        <w:pStyle w:val="a6"/>
        <w:widowControl/>
        <w:spacing w:line="300" w:lineRule="atLeast"/>
        <w:ind w:left="1020" w:firstLineChars="0" w:firstLine="0"/>
        <w:jc w:val="left"/>
        <w:rPr>
          <w:rFonts w:ascii="黑体" w:eastAsia="黑体" w:hAnsi="黑体" w:cs="宋体"/>
          <w:b/>
          <w:color w:val="666666"/>
          <w:kern w:val="0"/>
          <w:sz w:val="30"/>
          <w:szCs w:val="30"/>
        </w:rPr>
      </w:pPr>
    </w:p>
    <w:p w:rsidR="00FE7A4A" w:rsidRPr="0027512E" w:rsidRDefault="00FE7A4A" w:rsidP="002D49D3">
      <w:pPr>
        <w:pStyle w:val="a6"/>
        <w:widowControl/>
        <w:spacing w:line="300" w:lineRule="atLeast"/>
        <w:ind w:left="1020" w:firstLineChars="0" w:firstLine="0"/>
        <w:jc w:val="left"/>
        <w:rPr>
          <w:rFonts w:ascii="黑体" w:eastAsia="黑体" w:hAnsi="黑体" w:cs="宋体"/>
          <w:b/>
          <w:color w:val="666666"/>
          <w:kern w:val="0"/>
          <w:sz w:val="30"/>
          <w:szCs w:val="30"/>
        </w:rPr>
      </w:pPr>
    </w:p>
    <w:p w:rsidR="007678B3" w:rsidRPr="0027512E" w:rsidRDefault="007678B3" w:rsidP="00084FB5">
      <w:pPr>
        <w:widowControl/>
        <w:spacing w:line="300" w:lineRule="atLeast"/>
        <w:jc w:val="left"/>
        <w:rPr>
          <w:rFonts w:ascii="黑体" w:eastAsia="黑体" w:hAnsi="黑体" w:cs="宋体"/>
          <w:color w:val="666666"/>
          <w:kern w:val="0"/>
          <w:sz w:val="30"/>
          <w:szCs w:val="30"/>
        </w:rPr>
      </w:pPr>
    </w:p>
    <w:p w:rsidR="00712CA1" w:rsidRPr="00084FB5" w:rsidRDefault="00712CA1" w:rsidP="00712CA1">
      <w:pPr>
        <w:widowControl/>
        <w:spacing w:line="300" w:lineRule="atLeast"/>
        <w:jc w:val="left"/>
        <w:rPr>
          <w:rFonts w:ascii="宋体" w:eastAsia="宋体" w:hAnsi="宋体" w:cs="宋体"/>
          <w:color w:val="666666"/>
          <w:kern w:val="0"/>
          <w:sz w:val="30"/>
          <w:szCs w:val="30"/>
        </w:rPr>
      </w:pPr>
      <w:r w:rsidRPr="00084FB5">
        <w:rPr>
          <w:rFonts w:ascii="宋体" w:eastAsia="宋体" w:hAnsi="宋体" w:cs="宋体"/>
          <w:color w:val="666666"/>
          <w:kern w:val="0"/>
          <w:sz w:val="30"/>
          <w:szCs w:val="30"/>
        </w:rPr>
        <w:t> </w:t>
      </w:r>
    </w:p>
    <w:p w:rsidR="00712CA1" w:rsidRPr="00084FB5" w:rsidRDefault="00712CA1" w:rsidP="00712CA1">
      <w:pPr>
        <w:widowControl/>
        <w:spacing w:line="300" w:lineRule="atLeast"/>
        <w:jc w:val="left"/>
        <w:rPr>
          <w:rFonts w:ascii="宋体" w:eastAsia="宋体" w:hAnsi="宋体" w:cs="宋体"/>
          <w:color w:val="666666"/>
          <w:kern w:val="0"/>
          <w:sz w:val="30"/>
          <w:szCs w:val="30"/>
        </w:rPr>
      </w:pPr>
      <w:r w:rsidRPr="00084FB5">
        <w:rPr>
          <w:rFonts w:ascii="宋体" w:eastAsia="宋体" w:hAnsi="宋体" w:cs="宋体"/>
          <w:color w:val="666666"/>
          <w:kern w:val="0"/>
          <w:sz w:val="30"/>
          <w:szCs w:val="30"/>
        </w:rPr>
        <w:lastRenderedPageBreak/>
        <w:t> </w:t>
      </w:r>
    </w:p>
    <w:p w:rsidR="002F5F78" w:rsidRPr="003064BA" w:rsidRDefault="002F5F78" w:rsidP="002F5F78">
      <w:pPr>
        <w:ind w:firstLineChars="350" w:firstLine="1540"/>
        <w:rPr>
          <w:sz w:val="44"/>
          <w:szCs w:val="44"/>
        </w:rPr>
      </w:pPr>
    </w:p>
    <w:sectPr w:rsidR="002F5F78" w:rsidRPr="003064BA" w:rsidSect="008C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A5" w:rsidRDefault="00CC0CA5" w:rsidP="002F5F78">
      <w:r>
        <w:separator/>
      </w:r>
    </w:p>
  </w:endnote>
  <w:endnote w:type="continuationSeparator" w:id="1">
    <w:p w:rsidR="00CC0CA5" w:rsidRDefault="00CC0CA5" w:rsidP="002F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A5" w:rsidRDefault="00CC0CA5" w:rsidP="002F5F78">
      <w:r>
        <w:separator/>
      </w:r>
    </w:p>
  </w:footnote>
  <w:footnote w:type="continuationSeparator" w:id="1">
    <w:p w:rsidR="00CC0CA5" w:rsidRDefault="00CC0CA5" w:rsidP="002F5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D9E"/>
    <w:multiLevelType w:val="hybridMultilevel"/>
    <w:tmpl w:val="9EA827AA"/>
    <w:lvl w:ilvl="0" w:tplc="ABF69DEA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4E584CB1"/>
    <w:multiLevelType w:val="hybridMultilevel"/>
    <w:tmpl w:val="11180DE8"/>
    <w:lvl w:ilvl="0" w:tplc="84261C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F78"/>
    <w:rsid w:val="00003CA8"/>
    <w:rsid w:val="00084FB5"/>
    <w:rsid w:val="001506AA"/>
    <w:rsid w:val="001D7633"/>
    <w:rsid w:val="00270CA8"/>
    <w:rsid w:val="0027512E"/>
    <w:rsid w:val="00277016"/>
    <w:rsid w:val="002D49D3"/>
    <w:rsid w:val="002F5F78"/>
    <w:rsid w:val="002F61BE"/>
    <w:rsid w:val="003064BA"/>
    <w:rsid w:val="003863AF"/>
    <w:rsid w:val="003E67AF"/>
    <w:rsid w:val="0041180D"/>
    <w:rsid w:val="004476CE"/>
    <w:rsid w:val="004F1206"/>
    <w:rsid w:val="005C7EFA"/>
    <w:rsid w:val="005D67A1"/>
    <w:rsid w:val="00644AD5"/>
    <w:rsid w:val="00712CA1"/>
    <w:rsid w:val="007678B3"/>
    <w:rsid w:val="008659DD"/>
    <w:rsid w:val="008C75A3"/>
    <w:rsid w:val="008D0DC9"/>
    <w:rsid w:val="00961771"/>
    <w:rsid w:val="009D0FB0"/>
    <w:rsid w:val="009E55F2"/>
    <w:rsid w:val="00A57EFA"/>
    <w:rsid w:val="00A73F23"/>
    <w:rsid w:val="00B472F3"/>
    <w:rsid w:val="00CC0CA5"/>
    <w:rsid w:val="00D3799D"/>
    <w:rsid w:val="00DC6B1D"/>
    <w:rsid w:val="00E41B67"/>
    <w:rsid w:val="00F004CA"/>
    <w:rsid w:val="00F17768"/>
    <w:rsid w:val="00FC0F99"/>
    <w:rsid w:val="00FE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A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064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F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F7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064B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306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678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2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772A-AEB6-4C7D-922A-4FD5ACF4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chendan</dc:creator>
  <cp:keywords/>
  <dc:description/>
  <cp:lastModifiedBy>chendan</cp:lastModifiedBy>
  <cp:revision>14</cp:revision>
  <dcterms:created xsi:type="dcterms:W3CDTF">2018-04-10T07:20:00Z</dcterms:created>
  <dcterms:modified xsi:type="dcterms:W3CDTF">2018-04-11T03:33:00Z</dcterms:modified>
</cp:coreProperties>
</file>