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F5" w:rsidRPr="00455CF5" w:rsidRDefault="00AC1E44" w:rsidP="00455CF5">
      <w:pPr>
        <w:widowControl/>
        <w:spacing w:before="150"/>
        <w:jc w:val="center"/>
        <w:outlineLvl w:val="0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河北以岭医药</w:t>
      </w:r>
      <w:r>
        <w:rPr>
          <w:rFonts w:ascii="黑体" w:eastAsia="黑体"/>
          <w:b/>
          <w:sz w:val="36"/>
          <w:szCs w:val="36"/>
        </w:rPr>
        <w:t>集团</w:t>
      </w:r>
      <w:r w:rsidR="00455CF5" w:rsidRPr="00455CF5">
        <w:rPr>
          <w:rFonts w:ascii="黑体" w:eastAsia="黑体" w:hAnsi="Times New Roman" w:cs="Times New Roman"/>
          <w:b/>
          <w:sz w:val="36"/>
          <w:szCs w:val="36"/>
        </w:rPr>
        <w:t>仪器设备开放共享管理办法</w:t>
      </w:r>
    </w:p>
    <w:p w:rsidR="00455CF5" w:rsidRPr="00455CF5" w:rsidRDefault="00455CF5" w:rsidP="00455CF5">
      <w:pPr>
        <w:widowControl/>
        <w:spacing w:before="200" w:after="200"/>
        <w:jc w:val="center"/>
        <w:outlineLvl w:val="1"/>
        <w:rPr>
          <w:rFonts w:ascii="Arial" w:eastAsia="宋体" w:hAnsi="Arial" w:cs="Arial"/>
          <w:b/>
          <w:bCs/>
          <w:color w:val="333333"/>
          <w:kern w:val="0"/>
          <w:sz w:val="32"/>
          <w:szCs w:val="32"/>
        </w:rPr>
      </w:pPr>
      <w:r w:rsidRPr="00455CF5">
        <w:rPr>
          <w:rFonts w:ascii="黑体" w:eastAsia="黑体" w:hAnsi="黑体" w:cs="Arial" w:hint="eastAsia"/>
          <w:b/>
          <w:bCs/>
          <w:color w:val="333333"/>
          <w:kern w:val="0"/>
          <w:sz w:val="32"/>
          <w:szCs w:val="32"/>
        </w:rPr>
        <w:t>第一章总则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第一条  为了提高</w:t>
      </w:r>
      <w:r w:rsidR="00AC1E44" w:rsidRP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河北以岭医药集团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（以下简称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）仪器设备，尤其是大型精密贵重仪器设备的使用效率，更好地为教学、科研服务，特制定本管理办法。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第二条  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仪器设备实行“专管共用，资源共享”的管理制度，即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所有仪器设备向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研究人员、访问学者开放，同时面向</w:t>
      </w:r>
      <w:r w:rsidR="00365DF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依托单位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和全社会开放使用。同时鼓励多种形式的开放使用，最大限度地发挥大型仪器设备使用效益。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第三条  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仪器设备共享范畴包括：由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仪器设备专项经费购置与研制、</w:t>
      </w:r>
      <w:r w:rsidR="00365DF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依托单位运行</w:t>
      </w:r>
      <w:r w:rsidR="00365DFE">
        <w:rPr>
          <w:rFonts w:ascii="宋体" w:eastAsia="宋体" w:hAnsi="宋体" w:cs="Arial"/>
          <w:color w:val="333333"/>
          <w:kern w:val="0"/>
          <w:sz w:val="24"/>
          <w:szCs w:val="24"/>
        </w:rPr>
        <w:t>经费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购置的所有仪器和设备。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第四条  </w:t>
      </w:r>
      <w:r w:rsidR="00365DF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仪器设备管理方式：在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与设备管理处指导下，由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负责管理。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第五条  所有设备实行专人保管维护（定期校准等）制度，使用仪器者必须按照程序办理使用，必须按照规程严格操作。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第六条  使用设备必须作好各种记录的填写，发现问题及时向有关人员汇报。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第七条  大型精密仪器必须在主管技术人员的指导下操作。</w:t>
      </w:r>
    </w:p>
    <w:p w:rsidR="00455CF5" w:rsidRPr="00455CF5" w:rsidRDefault="00455CF5" w:rsidP="00455CF5">
      <w:pPr>
        <w:widowControl/>
        <w:spacing w:before="200" w:after="200"/>
        <w:jc w:val="center"/>
        <w:outlineLvl w:val="1"/>
        <w:rPr>
          <w:rFonts w:ascii="黑体" w:eastAsia="黑体" w:hAnsi="黑体" w:cs="Arial"/>
          <w:b/>
          <w:bCs/>
          <w:color w:val="333333"/>
          <w:kern w:val="0"/>
          <w:sz w:val="32"/>
          <w:szCs w:val="32"/>
        </w:rPr>
      </w:pPr>
      <w:r w:rsidRPr="00455CF5">
        <w:rPr>
          <w:rFonts w:ascii="黑体" w:eastAsia="黑体" w:hAnsi="黑体" w:cs="Arial" w:hint="eastAsia"/>
          <w:b/>
          <w:bCs/>
          <w:color w:val="333333"/>
          <w:kern w:val="0"/>
          <w:sz w:val="32"/>
          <w:szCs w:val="32"/>
        </w:rPr>
        <w:t>第二章管理职责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第八条  </w:t>
      </w:r>
      <w:r w:rsidR="00365DF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河北以岭医药研究院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设备管理处主要职责：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1)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建立健全大型仪器设备管理的各项规章制度，并认真组织实施；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2)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推动大型仪器设备共享平台建设，探索以共享为核心的运行机制；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3)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组织申购大型仪器设备的可行性论证、招标采购与验收工作；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4)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组织大型仪器设备开放基金及维修项目的评审与复核；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5)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组织实施大型仪器设备年度使用效益评价考核工作；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6)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协助做好大型仪器设备技术队伍建设工作。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>第九条  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主管负责人主要职责：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1)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组织制定有关仪器设备管理制度及仪器设备的操作规程；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2)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审查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大型仪器设备的配置与更新方案；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3)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负责落实大型仪器设备技术与管理人员的配备；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4)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解决、调剂安放大型仪器设备用房及配套设施；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5)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定期组织检查大型仪器设备使用及管理情况，及时解决存在的有关问题。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第十条  仪器设备管理人员主要职责：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1)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熟练掌握仪器设备的性能和使用方法，严格执行操作规程，定期对仪器设备的性能、指标进行校验和标定，确保实验数据准确可靠。组织开发仪器设备新功能；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2)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拟定仪器设备的开放使用计划，充分发挥现有仪器设备的作用，促进仪器设备开放共享，不断提高设备利用率和使用效益；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3)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定期做好仪器设备的维护和保养工作，使仪器设备经常处于良好的工作状态，确保科研等各项工作的顺利开展；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4)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建立健全仪器设备使用管理制度和技术档案，认真做好仪器设备使用记录和维护维修记录，确保记录内容完整、规范。</w:t>
      </w:r>
    </w:p>
    <w:p w:rsidR="00455CF5" w:rsidRPr="00455CF5" w:rsidRDefault="00455CF5" w:rsidP="00455CF5">
      <w:pPr>
        <w:widowControl/>
        <w:spacing w:before="200" w:after="200"/>
        <w:jc w:val="center"/>
        <w:outlineLvl w:val="1"/>
        <w:rPr>
          <w:rFonts w:ascii="黑体" w:eastAsia="黑体" w:hAnsi="黑体" w:cs="Arial"/>
          <w:b/>
          <w:bCs/>
          <w:color w:val="333333"/>
          <w:kern w:val="0"/>
          <w:sz w:val="32"/>
          <w:szCs w:val="32"/>
        </w:rPr>
      </w:pPr>
      <w:r w:rsidRPr="00455CF5">
        <w:rPr>
          <w:rFonts w:ascii="黑体" w:eastAsia="黑体" w:hAnsi="黑体" w:cs="Arial" w:hint="eastAsia"/>
          <w:b/>
          <w:bCs/>
          <w:color w:val="333333"/>
          <w:kern w:val="0"/>
          <w:sz w:val="32"/>
          <w:szCs w:val="32"/>
        </w:rPr>
        <w:t>第三章仪器设备的使用与管理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第十一条  大型仪器设备投入使用时，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应制定仪器设备管理规章制度，包括：操作规程，使用、维护规程，设备开放办法等，并将管理制度张贴在仪器设备旁醒目之处。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第十二条  大型仪器设备实行有偿服务、收支两条线。对</w:t>
      </w:r>
      <w:r w:rsidR="00365DF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依托单位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及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固定人员，</w:t>
      </w:r>
      <w:r w:rsidR="00365DF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不收取费用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；对</w:t>
      </w:r>
      <w:r w:rsidR="00365DF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面向公众开放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使用的仪器设备，依据具体仪器的特点另行制定收费办法，费用主要由水电费、材料消耗费、仪器维护费、人工费构成。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第十三条  所收取的费用，主要用于大型仪器设备的维修、改造、功能开发等。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>第十四条  大型仪器设备的使用与管理应实行岗位责任制，配备专业技术人员进行管理和操作，并纳入实验技术人员的工作量计算和考核内容。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必须及时建立大型仪器设备技术档案，认真做好大型仪器设备使用记录（包括：安装调试记录、使用记录、维护记录、故障记录、维修记录等），并按</w:t>
      </w:r>
      <w:r w:rsidR="00365DF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依托单位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的要求及时填报年度使用效益情况报表。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第十五条  仪器设备管理人员应对使用人员进行操作培训，未经培训的人员不得上机操作。仪器设备使用人员严格执行操作规程，切实注意安全操作，防止事故发生。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第十六条  凡需要使用仪器设备进行教学、科研的，均通过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仪器设备网上预约系统进行远程互联网预约。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第十七条  仪器设备的维护：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1)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仪器设备管理人员应根据制定的维护保养规程，对仪器设备做到精心维护，严格检查，清除事故隐患；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2)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仪器设备维护保养要做到经常化、制度化。维护的主要内容是进行清洁、润滑、紧固、通电、局部检查和调整、更换磨损的零部件；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3)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仪器设备的检查要做到经常化，检查的主要内容是：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(1) 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仪器设备运转情况，注意发现事故苗头、及时处理；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(2) 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检查与测定仪器设备的性能、精度；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(3) 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检查仪器设备的防腐、防尘、防爆等。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每次维护和检查后，仪器设备管理人员应在使用</w:t>
      </w: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(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维护</w:t>
      </w: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记录本上登记并签名，保证大型仪器设备经常处于良好运行状态。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第十八条  仪器设备的维修：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1)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凡仪器设备出现异常现象，应仔细检查，确属仪器设备发生损坏，要及时组织维修，并做好详细记录；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/>
          <w:color w:val="333333"/>
          <w:kern w:val="0"/>
          <w:sz w:val="24"/>
          <w:szCs w:val="24"/>
        </w:rPr>
        <w:t>2)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维修工作结束后，仪器设备管理人员应测试仪器设备性能、技术指标，提出测试验收报告，使用方和维修方签字后方有效。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第十九条  大型仪器设备发生较大故障时，仪器设备管理人员要及时写出详细的事故报告，由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组织有关人员分析事故原因、分清责任、提出处理意见并及时向设备主管部门通报情况。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>第二十条  </w:t>
      </w:r>
      <w:r w:rsidR="00365DF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大型仪器设备一律不准自行拆卸或解体使用。确有必要时，必须经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仪器设备主管部门审批。否则，将作为责任事故予以追究。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第二十一条  免税进口的大型仪器设备，在海关监管期内，不得挪作他用。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第二十二条  大型仪器设备要做到合理流动，杜绝闲置浪费。确因故不再使用的仪器设备由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与设备管理处依据具体情况予以调剂调拨。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第二十三条  确因技术落后、损坏等原因不能修复或无修复价值的仪器设备，按《</w:t>
      </w:r>
      <w:r w:rsidR="00D774E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河北以岭医药</w:t>
      </w:r>
      <w:bookmarkStart w:id="0" w:name="_GoBack"/>
      <w:bookmarkEnd w:id="0"/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集团</w:t>
      </w:r>
      <w:r w:rsidR="00365DFE" w:rsidRPr="00365DF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仪器设备管理与维护细则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》中的规定执行。</w:t>
      </w:r>
    </w:p>
    <w:p w:rsidR="00455CF5" w:rsidRPr="00455CF5" w:rsidRDefault="00455CF5" w:rsidP="00455CF5">
      <w:pPr>
        <w:widowControl/>
        <w:spacing w:before="200" w:after="200"/>
        <w:jc w:val="center"/>
        <w:outlineLvl w:val="1"/>
        <w:rPr>
          <w:rFonts w:ascii="黑体" w:eastAsia="黑体" w:hAnsi="黑体" w:cs="Arial"/>
          <w:b/>
          <w:bCs/>
          <w:color w:val="333333"/>
          <w:kern w:val="0"/>
          <w:sz w:val="32"/>
          <w:szCs w:val="32"/>
        </w:rPr>
      </w:pPr>
      <w:r w:rsidRPr="00455CF5">
        <w:rPr>
          <w:rFonts w:ascii="黑体" w:eastAsia="黑体" w:hAnsi="黑体" w:cs="Arial" w:hint="eastAsia"/>
          <w:b/>
          <w:bCs/>
          <w:color w:val="333333"/>
          <w:kern w:val="0"/>
          <w:sz w:val="32"/>
          <w:szCs w:val="32"/>
        </w:rPr>
        <w:t>第四章附则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第二十四条  本办法由</w:t>
      </w:r>
      <w:r w:rsidR="00AC1E4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河北以岭医药集团</w:t>
      </w: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负责解释。</w:t>
      </w:r>
    </w:p>
    <w:p w:rsidR="00455CF5" w:rsidRPr="00455CF5" w:rsidRDefault="00455CF5" w:rsidP="00455CF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55CF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第二十五条  本办法自公布之日起施行。</w:t>
      </w:r>
    </w:p>
    <w:p w:rsidR="0064663F" w:rsidRPr="00455CF5" w:rsidRDefault="0064663F"/>
    <w:sectPr w:rsidR="0064663F" w:rsidRPr="00455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C3" w:rsidRDefault="001F65C3" w:rsidP="00455CF5">
      <w:r>
        <w:separator/>
      </w:r>
    </w:p>
  </w:endnote>
  <w:endnote w:type="continuationSeparator" w:id="0">
    <w:p w:rsidR="001F65C3" w:rsidRDefault="001F65C3" w:rsidP="0045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C3" w:rsidRDefault="001F65C3" w:rsidP="00455CF5">
      <w:r>
        <w:separator/>
      </w:r>
    </w:p>
  </w:footnote>
  <w:footnote w:type="continuationSeparator" w:id="0">
    <w:p w:rsidR="001F65C3" w:rsidRDefault="001F65C3" w:rsidP="0045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2E"/>
    <w:rsid w:val="00006C1F"/>
    <w:rsid w:val="00027264"/>
    <w:rsid w:val="000432D5"/>
    <w:rsid w:val="00086572"/>
    <w:rsid w:val="000A66A5"/>
    <w:rsid w:val="000E40EF"/>
    <w:rsid w:val="00114940"/>
    <w:rsid w:val="001154C1"/>
    <w:rsid w:val="00122484"/>
    <w:rsid w:val="00123F53"/>
    <w:rsid w:val="001813B5"/>
    <w:rsid w:val="001F65C3"/>
    <w:rsid w:val="0023470C"/>
    <w:rsid w:val="00273565"/>
    <w:rsid w:val="002923B6"/>
    <w:rsid w:val="002B17CD"/>
    <w:rsid w:val="002C3EFC"/>
    <w:rsid w:val="002E4309"/>
    <w:rsid w:val="00300EFB"/>
    <w:rsid w:val="00342539"/>
    <w:rsid w:val="00365DFE"/>
    <w:rsid w:val="00370118"/>
    <w:rsid w:val="003B0805"/>
    <w:rsid w:val="003D492B"/>
    <w:rsid w:val="003D7A29"/>
    <w:rsid w:val="00410C97"/>
    <w:rsid w:val="00455CF5"/>
    <w:rsid w:val="00477D23"/>
    <w:rsid w:val="00502B53"/>
    <w:rsid w:val="00536C05"/>
    <w:rsid w:val="0053745F"/>
    <w:rsid w:val="0054035D"/>
    <w:rsid w:val="00567249"/>
    <w:rsid w:val="005A6F81"/>
    <w:rsid w:val="005D3589"/>
    <w:rsid w:val="0064663F"/>
    <w:rsid w:val="00652C7C"/>
    <w:rsid w:val="006873AB"/>
    <w:rsid w:val="006E2090"/>
    <w:rsid w:val="006F0794"/>
    <w:rsid w:val="007429F5"/>
    <w:rsid w:val="00745059"/>
    <w:rsid w:val="00753CB7"/>
    <w:rsid w:val="00764978"/>
    <w:rsid w:val="00795F25"/>
    <w:rsid w:val="00816AC4"/>
    <w:rsid w:val="00822764"/>
    <w:rsid w:val="00830976"/>
    <w:rsid w:val="00846860"/>
    <w:rsid w:val="0085412B"/>
    <w:rsid w:val="008900F4"/>
    <w:rsid w:val="008B2E54"/>
    <w:rsid w:val="0090379B"/>
    <w:rsid w:val="00911F2E"/>
    <w:rsid w:val="00925705"/>
    <w:rsid w:val="00925E2C"/>
    <w:rsid w:val="0093523B"/>
    <w:rsid w:val="0094459E"/>
    <w:rsid w:val="00993A17"/>
    <w:rsid w:val="009D182A"/>
    <w:rsid w:val="009E13B8"/>
    <w:rsid w:val="009E4C1F"/>
    <w:rsid w:val="009F73C8"/>
    <w:rsid w:val="00A2507C"/>
    <w:rsid w:val="00A25CF6"/>
    <w:rsid w:val="00A64067"/>
    <w:rsid w:val="00A640F2"/>
    <w:rsid w:val="00A93E0D"/>
    <w:rsid w:val="00AC1E44"/>
    <w:rsid w:val="00AE4089"/>
    <w:rsid w:val="00B02464"/>
    <w:rsid w:val="00B915A1"/>
    <w:rsid w:val="00BB4BC2"/>
    <w:rsid w:val="00C11FE0"/>
    <w:rsid w:val="00C27973"/>
    <w:rsid w:val="00C634C3"/>
    <w:rsid w:val="00C7137F"/>
    <w:rsid w:val="00C9170B"/>
    <w:rsid w:val="00CD5C2A"/>
    <w:rsid w:val="00D176B4"/>
    <w:rsid w:val="00D43198"/>
    <w:rsid w:val="00D774E5"/>
    <w:rsid w:val="00DE726E"/>
    <w:rsid w:val="00E06056"/>
    <w:rsid w:val="00E063C6"/>
    <w:rsid w:val="00E06952"/>
    <w:rsid w:val="00E313C7"/>
    <w:rsid w:val="00E359EE"/>
    <w:rsid w:val="00E43599"/>
    <w:rsid w:val="00E54272"/>
    <w:rsid w:val="00E556D4"/>
    <w:rsid w:val="00E84DCE"/>
    <w:rsid w:val="00E87DA1"/>
    <w:rsid w:val="00E96C39"/>
    <w:rsid w:val="00EA049C"/>
    <w:rsid w:val="00EB3115"/>
    <w:rsid w:val="00EB4100"/>
    <w:rsid w:val="00F10BC0"/>
    <w:rsid w:val="00F41FD2"/>
    <w:rsid w:val="00F51C94"/>
    <w:rsid w:val="00F67F83"/>
    <w:rsid w:val="00FA4957"/>
    <w:rsid w:val="00FB574B"/>
    <w:rsid w:val="00FE284A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1DAA76"/>
  <w15:chartTrackingRefBased/>
  <w15:docId w15:val="{7448053E-9D91-444C-BAB0-56C333EB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55C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5CF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C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CF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55CF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455CF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wpvisitcount">
    <w:name w:val="wp_visitcount"/>
    <w:basedOn w:val="a0"/>
    <w:rsid w:val="0045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dashed" w:sz="6" w:space="4" w:color="CCCCCC"/>
            <w:right w:val="none" w:sz="0" w:space="0" w:color="auto"/>
          </w:divBdr>
          <w:divsChild>
            <w:div w:id="263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</dc:creator>
  <cp:keywords/>
  <dc:description/>
  <cp:lastModifiedBy>张静</cp:lastModifiedBy>
  <cp:revision>5</cp:revision>
  <dcterms:created xsi:type="dcterms:W3CDTF">2019-06-19T05:41:00Z</dcterms:created>
  <dcterms:modified xsi:type="dcterms:W3CDTF">2019-11-15T07:22:00Z</dcterms:modified>
</cp:coreProperties>
</file>