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401" w:type="dxa"/>
        <w:tblInd w:w="0" w:type="dxa"/>
        <w:tblBorders>
          <w:top w:val="threeDEmboss" w:color="auto" w:sz="18" w:space="0"/>
          <w:left w:val="none" w:color="auto" w:sz="0" w:space="0"/>
          <w:bottom w:val="threeDEmboss"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66"/>
        <w:gridCol w:w="2452"/>
        <w:gridCol w:w="2249"/>
        <w:gridCol w:w="3134"/>
      </w:tblGrid>
      <w:tr>
        <w:tblPrEx>
          <w:tblBorders>
            <w:top w:val="threeDEmboss" w:color="auto" w:sz="18" w:space="0"/>
            <w:left w:val="none" w:color="auto" w:sz="0" w:space="0"/>
            <w:bottom w:val="threeDEmboss" w:color="auto" w:sz="18" w:space="0"/>
            <w:right w:val="none" w:color="auto" w:sz="0" w:space="0"/>
            <w:insideH w:val="single" w:color="auto" w:sz="4" w:space="0"/>
            <w:insideV w:val="single" w:color="auto" w:sz="4" w:space="0"/>
          </w:tblBorders>
        </w:tblPrEx>
        <w:tc>
          <w:tcPr>
            <w:tcW w:w="4018" w:type="dxa"/>
            <w:gridSpan w:val="2"/>
            <w:vMerge w:val="restart"/>
            <w:tcBorders>
              <w:tl2br w:val="nil"/>
              <w:tr2bl w:val="nil"/>
            </w:tcBorders>
            <w:vAlign w:val="center"/>
          </w:tcPr>
          <w:p>
            <w:pPr>
              <w:pStyle w:val="6"/>
              <w:widowControl w:val="0"/>
              <w:ind w:firstLine="420"/>
              <w:jc w:val="center"/>
              <w:rPr>
                <w:rFonts w:ascii="黑体" w:hAnsi="黑体" w:eastAsia="黑体" w:cs="黑体"/>
                <w:szCs w:val="21"/>
              </w:rPr>
            </w:pPr>
            <w:r>
              <w:rPr>
                <w:rFonts w:hint="eastAsia" w:ascii="黑体" w:hAnsi="黑体" w:eastAsia="黑体" w:cs="黑体"/>
                <w:szCs w:val="21"/>
              </w:rPr>
              <w:t>仪器设备（含软件）和标准物质管理程序</w:t>
            </w:r>
          </w:p>
        </w:tc>
        <w:tc>
          <w:tcPr>
            <w:tcW w:w="2249" w:type="dxa"/>
            <w:tcBorders>
              <w:tl2br w:val="nil"/>
              <w:tr2bl w:val="nil"/>
            </w:tcBorders>
            <w:vAlign w:val="center"/>
          </w:tcPr>
          <w:p>
            <w:pPr>
              <w:pStyle w:val="2"/>
              <w:pBdr>
                <w:bottom w:val="none" w:color="auto" w:sz="0" w:space="0"/>
              </w:pBdr>
              <w:tabs>
                <w:tab w:val="center" w:pos="4153"/>
                <w:tab w:val="right" w:pos="8306"/>
              </w:tabs>
              <w:rPr>
                <w:rFonts w:hint="default" w:hAnsi="黑体"/>
                <w:sz w:val="21"/>
                <w:szCs w:val="21"/>
              </w:rPr>
            </w:pPr>
            <w:r>
              <w:rPr>
                <w:rFonts w:hAnsi="黑体" w:cs="黑体"/>
                <w:sz w:val="21"/>
                <w:szCs w:val="21"/>
              </w:rPr>
              <w:t>页  数</w:t>
            </w:r>
          </w:p>
        </w:tc>
        <w:tc>
          <w:tcPr>
            <w:tcW w:w="3134" w:type="dxa"/>
            <w:tcBorders>
              <w:tl2br w:val="nil"/>
              <w:tr2bl w:val="nil"/>
            </w:tcBorders>
            <w:vAlign w:val="center"/>
          </w:tcPr>
          <w:p>
            <w:pPr>
              <w:pStyle w:val="2"/>
              <w:pBdr>
                <w:bottom w:val="none" w:color="auto" w:sz="0" w:space="0"/>
              </w:pBdr>
              <w:tabs>
                <w:tab w:val="center" w:pos="4153"/>
                <w:tab w:val="right" w:pos="8306"/>
              </w:tabs>
              <w:rPr>
                <w:rFonts w:hint="default" w:hAnsi="黑体"/>
                <w:sz w:val="21"/>
                <w:szCs w:val="21"/>
              </w:rPr>
            </w:pPr>
            <w:r>
              <w:rPr>
                <w:rFonts w:hAnsi="黑体" w:cs="黑体"/>
                <w:sz w:val="21"/>
                <w:szCs w:val="21"/>
              </w:rPr>
              <w:t xml:space="preserve">第1 页  共 </w:t>
            </w:r>
            <w:r>
              <w:rPr>
                <w:rFonts w:hint="eastAsia" w:hAnsi="黑体" w:cs="黑体"/>
                <w:sz w:val="21"/>
                <w:szCs w:val="21"/>
                <w:lang w:val="en-US" w:eastAsia="zh-CN"/>
              </w:rPr>
              <w:t>8</w:t>
            </w:r>
            <w:r>
              <w:rPr>
                <w:rFonts w:hAnsi="黑体" w:cs="黑体"/>
                <w:sz w:val="21"/>
                <w:szCs w:val="21"/>
              </w:rPr>
              <w:t xml:space="preserve"> 页</w:t>
            </w:r>
          </w:p>
        </w:tc>
      </w:tr>
      <w:tr>
        <w:tblPrEx>
          <w:tblBorders>
            <w:top w:val="threeDEmboss" w:color="auto" w:sz="18" w:space="0"/>
            <w:left w:val="none" w:color="auto" w:sz="0" w:space="0"/>
            <w:bottom w:val="threeDEmboss"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018" w:type="dxa"/>
            <w:gridSpan w:val="2"/>
            <w:vMerge w:val="continue"/>
            <w:tcBorders>
              <w:tl2br w:val="nil"/>
              <w:tr2bl w:val="nil"/>
            </w:tcBorders>
          </w:tcPr>
          <w:p>
            <w:pPr>
              <w:pStyle w:val="6"/>
              <w:widowControl w:val="0"/>
              <w:ind w:firstLine="420"/>
              <w:rPr>
                <w:rFonts w:ascii="黑体" w:hAnsi="黑体" w:eastAsia="黑体" w:cs="黑体"/>
                <w:szCs w:val="21"/>
              </w:rPr>
            </w:pPr>
          </w:p>
        </w:tc>
        <w:tc>
          <w:tcPr>
            <w:tcW w:w="2249" w:type="dxa"/>
            <w:tcBorders>
              <w:tl2br w:val="nil"/>
              <w:tr2bl w:val="nil"/>
            </w:tcBorders>
            <w:vAlign w:val="center"/>
          </w:tcPr>
          <w:p>
            <w:pPr>
              <w:pStyle w:val="2"/>
              <w:pBdr>
                <w:bottom w:val="none" w:color="auto" w:sz="0" w:space="0"/>
              </w:pBdr>
              <w:tabs>
                <w:tab w:val="center" w:pos="4153"/>
                <w:tab w:val="right" w:pos="8306"/>
              </w:tabs>
              <w:rPr>
                <w:rFonts w:hint="default" w:hAnsi="黑体"/>
                <w:sz w:val="21"/>
                <w:szCs w:val="21"/>
              </w:rPr>
            </w:pPr>
            <w:r>
              <w:rPr>
                <w:rFonts w:hAnsi="黑体" w:cs="黑体"/>
                <w:sz w:val="21"/>
                <w:szCs w:val="21"/>
              </w:rPr>
              <w:t>修改号</w:t>
            </w:r>
          </w:p>
        </w:tc>
        <w:tc>
          <w:tcPr>
            <w:tcW w:w="3134" w:type="dxa"/>
            <w:tcBorders>
              <w:tl2br w:val="nil"/>
              <w:tr2bl w:val="nil"/>
            </w:tcBorders>
            <w:vAlign w:val="center"/>
          </w:tcPr>
          <w:p>
            <w:pPr>
              <w:pStyle w:val="2"/>
              <w:pBdr>
                <w:bottom w:val="none" w:color="auto" w:sz="0" w:space="0"/>
              </w:pBdr>
              <w:tabs>
                <w:tab w:val="center" w:pos="4153"/>
                <w:tab w:val="right" w:pos="8306"/>
              </w:tabs>
              <w:rPr>
                <w:rFonts w:hint="default" w:hAnsi="黑体"/>
                <w:sz w:val="21"/>
                <w:szCs w:val="21"/>
              </w:rPr>
            </w:pPr>
            <w:r>
              <w:rPr>
                <w:rFonts w:hAnsi="黑体" w:cs="黑体"/>
                <w:sz w:val="21"/>
                <w:szCs w:val="21"/>
              </w:rPr>
              <w:t>第2019版 第0次修订</w:t>
            </w:r>
          </w:p>
        </w:tc>
      </w:tr>
      <w:tr>
        <w:tblPrEx>
          <w:tblBorders>
            <w:top w:val="threeDEmboss" w:color="auto" w:sz="18" w:space="0"/>
            <w:left w:val="none" w:color="auto" w:sz="0" w:space="0"/>
            <w:bottom w:val="threeDEmboss"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66" w:type="dxa"/>
            <w:tcBorders>
              <w:tl2br w:val="nil"/>
              <w:tr2bl w:val="nil"/>
            </w:tcBorders>
          </w:tcPr>
          <w:p>
            <w:pPr>
              <w:pStyle w:val="6"/>
              <w:widowControl w:val="0"/>
              <w:ind w:firstLine="420"/>
              <w:rPr>
                <w:rFonts w:ascii="黑体" w:hAnsi="黑体" w:eastAsia="黑体" w:cs="黑体"/>
                <w:szCs w:val="21"/>
              </w:rPr>
            </w:pPr>
            <w:r>
              <w:rPr>
                <w:rFonts w:hint="eastAsia" w:ascii="黑体" w:hAnsi="黑体" w:eastAsia="黑体" w:cs="黑体"/>
                <w:szCs w:val="21"/>
              </w:rPr>
              <w:t>文件编号</w:t>
            </w:r>
          </w:p>
        </w:tc>
        <w:tc>
          <w:tcPr>
            <w:tcW w:w="2452" w:type="dxa"/>
            <w:tcBorders>
              <w:tl2br w:val="nil"/>
              <w:tr2bl w:val="nil"/>
            </w:tcBorders>
          </w:tcPr>
          <w:p>
            <w:pPr>
              <w:pStyle w:val="6"/>
              <w:widowControl w:val="0"/>
              <w:ind w:firstLine="420"/>
              <w:rPr>
                <w:rFonts w:ascii="黑体" w:hAnsi="黑体" w:eastAsia="黑体" w:cs="黑体"/>
                <w:szCs w:val="21"/>
              </w:rPr>
            </w:pPr>
            <w:r>
              <w:rPr>
                <w:rFonts w:hint="eastAsia" w:ascii="黑体" w:hAnsi="黑体" w:eastAsia="黑体" w:cs="黑体"/>
                <w:szCs w:val="21"/>
              </w:rPr>
              <w:t xml:space="preserve">HBLD/CX06-2019 </w:t>
            </w:r>
          </w:p>
        </w:tc>
        <w:tc>
          <w:tcPr>
            <w:tcW w:w="2249" w:type="dxa"/>
            <w:tcBorders>
              <w:tl2br w:val="nil"/>
              <w:tr2bl w:val="nil"/>
            </w:tcBorders>
            <w:vAlign w:val="center"/>
          </w:tcPr>
          <w:p>
            <w:pPr>
              <w:pStyle w:val="2"/>
              <w:pBdr>
                <w:bottom w:val="none" w:color="auto" w:sz="0" w:space="0"/>
              </w:pBdr>
              <w:tabs>
                <w:tab w:val="center" w:pos="4153"/>
                <w:tab w:val="right" w:pos="8306"/>
              </w:tabs>
              <w:rPr>
                <w:rFonts w:hint="default" w:hAnsi="黑体"/>
                <w:sz w:val="21"/>
                <w:szCs w:val="21"/>
              </w:rPr>
            </w:pPr>
            <w:r>
              <w:rPr>
                <w:rFonts w:hAnsi="黑体" w:cs="黑体"/>
                <w:sz w:val="21"/>
                <w:szCs w:val="21"/>
              </w:rPr>
              <w:t>执行日期</w:t>
            </w:r>
          </w:p>
        </w:tc>
        <w:tc>
          <w:tcPr>
            <w:tcW w:w="3134" w:type="dxa"/>
            <w:tcBorders>
              <w:tl2br w:val="nil"/>
              <w:tr2bl w:val="nil"/>
            </w:tcBorders>
            <w:vAlign w:val="center"/>
          </w:tcPr>
          <w:p>
            <w:pPr>
              <w:pStyle w:val="2"/>
              <w:pBdr>
                <w:bottom w:val="none" w:color="auto" w:sz="0" w:space="0"/>
              </w:pBdr>
              <w:tabs>
                <w:tab w:val="center" w:pos="4153"/>
                <w:tab w:val="right" w:pos="8306"/>
              </w:tabs>
              <w:rPr>
                <w:rFonts w:hint="default" w:hAnsi="黑体"/>
                <w:sz w:val="21"/>
                <w:szCs w:val="21"/>
              </w:rPr>
            </w:pPr>
            <w:r>
              <w:rPr>
                <w:rFonts w:hAnsi="黑体" w:cs="黑体"/>
                <w:sz w:val="21"/>
                <w:szCs w:val="21"/>
              </w:rPr>
              <w:t>2019年1月1日</w:t>
            </w:r>
          </w:p>
        </w:tc>
      </w:tr>
    </w:tbl>
    <w:p>
      <w:pPr>
        <w:pStyle w:val="3"/>
        <w:shd w:val="clear" w:color="auto" w:fill="FFFFFF"/>
        <w:spacing w:beforeAutospacing="0" w:afterAutospacing="0" w:line="460" w:lineRule="exact"/>
        <w:jc w:val="center"/>
        <w:outlineLvl w:val="0"/>
        <w:rPr>
          <w:rFonts w:ascii="Times New Roman" w:cs="宋体"/>
          <w:sz w:val="32"/>
          <w:szCs w:val="32"/>
        </w:rPr>
      </w:pPr>
      <w:r>
        <w:rPr>
          <w:rFonts w:hint="eastAsia" w:cs="宋体"/>
          <w:sz w:val="32"/>
          <w:szCs w:val="32"/>
        </w:rPr>
        <w:t>仪器设备（含软件）和标准物质控制程序</w:t>
      </w:r>
    </w:p>
    <w:p>
      <w:pPr>
        <w:pStyle w:val="3"/>
        <w:numPr>
          <w:ilvl w:val="1"/>
          <w:numId w:val="2"/>
        </w:numPr>
        <w:spacing w:beforeAutospacing="0" w:afterAutospacing="0"/>
        <w:ind w:left="0" w:firstLine="0"/>
        <w:jc w:val="both"/>
        <w:outlineLvl w:val="1"/>
        <w:rPr>
          <w:rFonts w:ascii="Times New Roman" w:hAnsi="Times New Roman"/>
          <w:b/>
          <w:sz w:val="21"/>
          <w:szCs w:val="21"/>
        </w:rPr>
      </w:pPr>
      <w:r>
        <w:rPr>
          <w:rFonts w:hint="eastAsia" w:cs="宋体"/>
          <w:b/>
          <w:sz w:val="21"/>
          <w:szCs w:val="21"/>
        </w:rPr>
        <w:t>目的和适用范围</w:t>
      </w:r>
    </w:p>
    <w:p>
      <w:pPr>
        <w:pStyle w:val="3"/>
        <w:autoSpaceDE w:val="0"/>
        <w:autoSpaceDN w:val="0"/>
        <w:spacing w:beforeAutospacing="0" w:afterAutospacing="0"/>
        <w:ind w:firstLine="420" w:firstLineChars="200"/>
        <w:jc w:val="both"/>
        <w:rPr>
          <w:rFonts w:ascii="Times New Roman" w:hAnsi="Times New Roman"/>
          <w:sz w:val="21"/>
          <w:szCs w:val="21"/>
        </w:rPr>
      </w:pPr>
      <w:r>
        <w:rPr>
          <w:rFonts w:hint="eastAsia" w:cs="宋体"/>
          <w:sz w:val="21"/>
          <w:szCs w:val="21"/>
        </w:rPr>
        <w:t>本程序规定了仪器设备、计量器具与标准物质（标准溶液）的配置、采购、标识、使用、维护保养、维修管理，确保其满足检验要求，以实现检验结果的准确可靠。</w:t>
      </w:r>
    </w:p>
    <w:p>
      <w:pPr>
        <w:pStyle w:val="3"/>
        <w:autoSpaceDE w:val="0"/>
        <w:autoSpaceDN w:val="0"/>
        <w:spacing w:beforeAutospacing="0" w:afterAutospacing="0"/>
        <w:ind w:firstLine="420" w:firstLineChars="200"/>
        <w:jc w:val="both"/>
        <w:rPr>
          <w:rFonts w:ascii="Times New Roman" w:hAnsi="Times New Roman"/>
          <w:sz w:val="21"/>
          <w:szCs w:val="21"/>
        </w:rPr>
      </w:pPr>
      <w:r>
        <w:rPr>
          <w:rFonts w:hint="eastAsia" w:cs="宋体"/>
          <w:sz w:val="21"/>
          <w:szCs w:val="21"/>
        </w:rPr>
        <w:t>本程序适用于本公司仪器设备、计量器具、标准物质和标准溶液的控制管理。</w:t>
      </w:r>
    </w:p>
    <w:p>
      <w:pPr>
        <w:pStyle w:val="3"/>
        <w:numPr>
          <w:ilvl w:val="1"/>
          <w:numId w:val="2"/>
        </w:numPr>
        <w:spacing w:beforeAutospacing="0" w:afterAutospacing="0"/>
        <w:ind w:left="0" w:firstLine="0"/>
        <w:jc w:val="both"/>
        <w:outlineLvl w:val="1"/>
        <w:rPr>
          <w:rFonts w:ascii="Times New Roman" w:hAnsi="Times New Roman"/>
          <w:b/>
          <w:sz w:val="21"/>
          <w:szCs w:val="21"/>
        </w:rPr>
      </w:pPr>
      <w:r>
        <w:rPr>
          <w:rFonts w:hint="eastAsia" w:cs="宋体"/>
          <w:b/>
          <w:sz w:val="21"/>
          <w:szCs w:val="21"/>
        </w:rPr>
        <w:t>职责</w:t>
      </w:r>
    </w:p>
    <w:p>
      <w:pPr>
        <w:pStyle w:val="3"/>
        <w:keepNext w:val="0"/>
        <w:keepLines w:val="0"/>
        <w:pageBreakBefore w:val="0"/>
        <w:widowControl/>
        <w:numPr>
          <w:ilvl w:val="2"/>
          <w:numId w:val="2"/>
        </w:numPr>
        <w:kinsoku/>
        <w:wordWrap/>
        <w:overflowPunct/>
        <w:topLinePunct w:val="0"/>
        <w:autoSpaceDE/>
        <w:autoSpaceDN/>
        <w:bidi w:val="0"/>
        <w:adjustRightInd/>
        <w:snapToGrid/>
        <w:spacing w:beforeAutospacing="0" w:afterAutospacing="0"/>
        <w:ind w:left="0" w:firstLine="0"/>
        <w:jc w:val="both"/>
        <w:textAlignment w:val="auto"/>
        <w:outlineLvl w:val="2"/>
        <w:rPr>
          <w:rFonts w:ascii="Times New Roman" w:hAnsi="Times New Roman"/>
          <w:sz w:val="21"/>
          <w:szCs w:val="21"/>
        </w:rPr>
      </w:pPr>
      <w:r>
        <w:rPr>
          <w:rFonts w:hint="eastAsia" w:cs="宋体"/>
          <w:sz w:val="21"/>
          <w:szCs w:val="21"/>
        </w:rPr>
        <w:t>检验室负责提出仪器设备和标准物质的申购计划、参与验收，并负责对仪器设备进行日常维护保养。检测项目主检人是所用仪器设备专管员。</w:t>
      </w:r>
    </w:p>
    <w:p>
      <w:pPr>
        <w:pStyle w:val="3"/>
        <w:keepNext w:val="0"/>
        <w:keepLines w:val="0"/>
        <w:pageBreakBefore w:val="0"/>
        <w:widowControl/>
        <w:numPr>
          <w:ilvl w:val="2"/>
          <w:numId w:val="2"/>
        </w:numPr>
        <w:kinsoku/>
        <w:wordWrap/>
        <w:overflowPunct/>
        <w:topLinePunct w:val="0"/>
        <w:autoSpaceDE/>
        <w:autoSpaceDN/>
        <w:bidi w:val="0"/>
        <w:adjustRightInd/>
        <w:snapToGrid/>
        <w:spacing w:beforeAutospacing="0" w:afterAutospacing="0"/>
        <w:ind w:left="0" w:firstLine="0"/>
        <w:jc w:val="both"/>
        <w:textAlignment w:val="auto"/>
        <w:outlineLvl w:val="2"/>
        <w:rPr>
          <w:rFonts w:ascii="Times New Roman" w:hAnsi="Times New Roman"/>
          <w:sz w:val="21"/>
          <w:szCs w:val="21"/>
        </w:rPr>
      </w:pPr>
      <w:r>
        <w:rPr>
          <w:rFonts w:hint="eastAsia" w:cs="宋体"/>
          <w:sz w:val="21"/>
          <w:szCs w:val="21"/>
        </w:rPr>
        <w:t>设备管理员是本公司仪器设备的日常管理负责人，负责建立仪器设备台账、使用期间档案，进行仪器设备标识管理、期间核查、计量管理。负责组织编写操作规程，进行仪器设备的监督检查以及计算机的维护。管理仪器设备的维修、故障</w:t>
      </w:r>
      <w:r>
        <w:rPr>
          <w:rFonts w:ascii="Times New Roman" w:hAnsi="Times New Roman"/>
          <w:sz w:val="21"/>
          <w:szCs w:val="21"/>
        </w:rPr>
        <w:t>(</w:t>
      </w:r>
      <w:r>
        <w:rPr>
          <w:rFonts w:hint="eastAsia" w:cs="宋体"/>
          <w:sz w:val="21"/>
          <w:szCs w:val="21"/>
        </w:rPr>
        <w:t>事故</w:t>
      </w:r>
      <w:r>
        <w:rPr>
          <w:rFonts w:ascii="Times New Roman" w:hAnsi="Times New Roman"/>
          <w:sz w:val="21"/>
          <w:szCs w:val="21"/>
        </w:rPr>
        <w:t>)</w:t>
      </w:r>
      <w:r>
        <w:rPr>
          <w:rFonts w:hint="eastAsia" w:cs="宋体"/>
          <w:sz w:val="21"/>
          <w:szCs w:val="21"/>
        </w:rPr>
        <w:t>处理、停用、降级、报废。并按期向档案资料室移交相关资料以归档。负责编制《仪器设备检定</w:t>
      </w:r>
      <w:r>
        <w:rPr>
          <w:rFonts w:ascii="Times New Roman" w:hAnsi="Times New Roman"/>
          <w:sz w:val="21"/>
          <w:szCs w:val="21"/>
        </w:rPr>
        <w:t>/</w:t>
      </w:r>
      <w:r>
        <w:rPr>
          <w:rFonts w:hint="eastAsia" w:cs="宋体"/>
          <w:sz w:val="21"/>
          <w:szCs w:val="21"/>
        </w:rPr>
        <w:t>校准（验证）确认总体要求》。</w:t>
      </w:r>
    </w:p>
    <w:p>
      <w:pPr>
        <w:pStyle w:val="3"/>
        <w:keepNext w:val="0"/>
        <w:keepLines w:val="0"/>
        <w:pageBreakBefore w:val="0"/>
        <w:widowControl/>
        <w:numPr>
          <w:ilvl w:val="2"/>
          <w:numId w:val="2"/>
        </w:numPr>
        <w:kinsoku/>
        <w:wordWrap/>
        <w:overflowPunct/>
        <w:topLinePunct w:val="0"/>
        <w:autoSpaceDE/>
        <w:autoSpaceDN/>
        <w:bidi w:val="0"/>
        <w:adjustRightInd/>
        <w:snapToGrid/>
        <w:spacing w:beforeAutospacing="0" w:afterAutospacing="0"/>
        <w:ind w:left="0" w:firstLine="0"/>
        <w:jc w:val="both"/>
        <w:textAlignment w:val="auto"/>
        <w:outlineLvl w:val="2"/>
        <w:rPr>
          <w:rFonts w:ascii="Times New Roman" w:hAnsi="Times New Roman"/>
          <w:sz w:val="21"/>
          <w:szCs w:val="21"/>
        </w:rPr>
      </w:pPr>
      <w:r>
        <w:rPr>
          <w:rFonts w:hint="eastAsia" w:cs="宋体"/>
          <w:sz w:val="21"/>
          <w:szCs w:val="21"/>
        </w:rPr>
        <w:t>综合办公室负责仪器设备和标准物质的外部支持服务和物资供应等计划的实施，在资格审查合格的供应服务商中进行服务和供应品采购，并具体组织验收，对仪器设备有关资料及其软件等记录进行存档；落实对检定</w:t>
      </w:r>
      <w:r>
        <w:rPr>
          <w:rFonts w:ascii="Times New Roman" w:hAnsi="Times New Roman"/>
          <w:sz w:val="21"/>
          <w:szCs w:val="21"/>
        </w:rPr>
        <w:t>/</w:t>
      </w:r>
      <w:r>
        <w:rPr>
          <w:rFonts w:hint="eastAsia" w:cs="宋体"/>
          <w:sz w:val="21"/>
          <w:szCs w:val="21"/>
        </w:rPr>
        <w:t>校准</w:t>
      </w:r>
      <w:r>
        <w:rPr>
          <w:rFonts w:ascii="Times New Roman" w:hAnsi="Times New Roman"/>
          <w:sz w:val="21"/>
          <w:szCs w:val="21"/>
        </w:rPr>
        <w:t>/</w:t>
      </w:r>
      <w:r>
        <w:rPr>
          <w:rFonts w:hint="eastAsia" w:cs="宋体"/>
          <w:sz w:val="21"/>
          <w:szCs w:val="21"/>
        </w:rPr>
        <w:t>测试结果证书的确认，负责对监督中发现的仪器设备管理方面的</w:t>
      </w:r>
      <w:r>
        <w:rPr>
          <w:rFonts w:hint="eastAsia" w:ascii="黑体" w:eastAsia="黑体" w:cs="黑体"/>
          <w:sz w:val="21"/>
          <w:szCs w:val="21"/>
        </w:rPr>
        <w:t>“</w:t>
      </w:r>
      <w:r>
        <w:rPr>
          <w:rFonts w:hint="eastAsia" w:cs="宋体"/>
          <w:sz w:val="21"/>
          <w:szCs w:val="21"/>
        </w:rPr>
        <w:t>不符合</w:t>
      </w:r>
      <w:r>
        <w:rPr>
          <w:rFonts w:hint="eastAsia" w:ascii="黑体" w:eastAsia="黑体" w:cs="黑体"/>
          <w:sz w:val="21"/>
          <w:szCs w:val="21"/>
        </w:rPr>
        <w:t>”</w:t>
      </w:r>
      <w:r>
        <w:rPr>
          <w:rFonts w:hint="eastAsia" w:cs="宋体"/>
          <w:sz w:val="21"/>
          <w:szCs w:val="21"/>
        </w:rPr>
        <w:t>采取纠正措施、预防措施。</w:t>
      </w:r>
    </w:p>
    <w:p>
      <w:pPr>
        <w:pStyle w:val="3"/>
        <w:keepNext w:val="0"/>
        <w:keepLines w:val="0"/>
        <w:pageBreakBefore w:val="0"/>
        <w:widowControl/>
        <w:numPr>
          <w:ilvl w:val="2"/>
          <w:numId w:val="2"/>
        </w:numPr>
        <w:kinsoku/>
        <w:wordWrap/>
        <w:overflowPunct/>
        <w:topLinePunct w:val="0"/>
        <w:autoSpaceDE/>
        <w:autoSpaceDN/>
        <w:bidi w:val="0"/>
        <w:adjustRightInd/>
        <w:snapToGrid/>
        <w:spacing w:beforeAutospacing="0" w:afterAutospacing="0"/>
        <w:ind w:left="0" w:firstLine="0"/>
        <w:jc w:val="both"/>
        <w:textAlignment w:val="auto"/>
        <w:outlineLvl w:val="2"/>
        <w:rPr>
          <w:rFonts w:ascii="Times New Roman" w:hAnsi="Times New Roman"/>
          <w:sz w:val="21"/>
          <w:szCs w:val="21"/>
        </w:rPr>
      </w:pPr>
      <w:r>
        <w:rPr>
          <w:rFonts w:hint="eastAsia" w:cs="宋体"/>
          <w:sz w:val="21"/>
          <w:szCs w:val="21"/>
        </w:rPr>
        <w:t>技术负责人对仪器设备和标准物质的采购、维修、故障</w:t>
      </w:r>
      <w:r>
        <w:rPr>
          <w:rFonts w:ascii="Times New Roman" w:hAnsi="Times New Roman"/>
          <w:sz w:val="21"/>
          <w:szCs w:val="21"/>
        </w:rPr>
        <w:t>(</w:t>
      </w:r>
      <w:r>
        <w:rPr>
          <w:rFonts w:hint="eastAsia" w:cs="宋体"/>
          <w:sz w:val="21"/>
          <w:szCs w:val="21"/>
        </w:rPr>
        <w:t>事故</w:t>
      </w:r>
      <w:r>
        <w:rPr>
          <w:rFonts w:ascii="Times New Roman" w:hAnsi="Times New Roman"/>
          <w:sz w:val="21"/>
          <w:szCs w:val="21"/>
        </w:rPr>
        <w:t>)</w:t>
      </w:r>
      <w:r>
        <w:rPr>
          <w:rFonts w:hint="eastAsia" w:cs="宋体"/>
          <w:sz w:val="21"/>
          <w:szCs w:val="21"/>
        </w:rPr>
        <w:t>处理、停用、降级、报废等申请、计划、报告进行审定，批准操作规程等。批准计量器具周期检定计划、内部校准计划、仪器设备的结果质量监控计划、期间核查计划，批准检定</w:t>
      </w:r>
      <w:r>
        <w:rPr>
          <w:rFonts w:ascii="Times New Roman" w:hAnsi="Times New Roman"/>
          <w:sz w:val="21"/>
          <w:szCs w:val="21"/>
        </w:rPr>
        <w:t>/</w:t>
      </w:r>
      <w:r>
        <w:rPr>
          <w:rFonts w:hint="eastAsia" w:cs="宋体"/>
          <w:sz w:val="21"/>
          <w:szCs w:val="21"/>
        </w:rPr>
        <w:t>校准</w:t>
      </w:r>
      <w:r>
        <w:rPr>
          <w:rFonts w:ascii="Times New Roman" w:hAnsi="Times New Roman"/>
          <w:sz w:val="21"/>
          <w:szCs w:val="21"/>
        </w:rPr>
        <w:t>/</w:t>
      </w:r>
      <w:r>
        <w:rPr>
          <w:rFonts w:hint="eastAsia" w:cs="宋体"/>
          <w:sz w:val="21"/>
          <w:szCs w:val="21"/>
        </w:rPr>
        <w:t>测试结果证书的确认，批准修正因子的使用和更新。批准仪器设备检定</w:t>
      </w:r>
      <w:r>
        <w:rPr>
          <w:rFonts w:ascii="Times New Roman" w:hAnsi="Times New Roman"/>
          <w:sz w:val="21"/>
          <w:szCs w:val="21"/>
        </w:rPr>
        <w:t>/</w:t>
      </w:r>
      <w:r>
        <w:rPr>
          <w:rFonts w:hint="eastAsia" w:cs="宋体"/>
          <w:sz w:val="21"/>
          <w:szCs w:val="21"/>
        </w:rPr>
        <w:t>校准（验证）确认总体要求。</w:t>
      </w:r>
    </w:p>
    <w:p>
      <w:pPr>
        <w:pStyle w:val="3"/>
        <w:keepNext w:val="0"/>
        <w:keepLines w:val="0"/>
        <w:pageBreakBefore w:val="0"/>
        <w:widowControl/>
        <w:numPr>
          <w:ilvl w:val="2"/>
          <w:numId w:val="2"/>
        </w:numPr>
        <w:kinsoku/>
        <w:wordWrap/>
        <w:overflowPunct/>
        <w:topLinePunct w:val="0"/>
        <w:autoSpaceDE/>
        <w:autoSpaceDN/>
        <w:bidi w:val="0"/>
        <w:adjustRightInd/>
        <w:snapToGrid/>
        <w:spacing w:beforeAutospacing="0" w:afterAutospacing="0"/>
        <w:ind w:left="0" w:firstLine="0"/>
        <w:jc w:val="both"/>
        <w:textAlignment w:val="auto"/>
        <w:outlineLvl w:val="2"/>
        <w:rPr>
          <w:rFonts w:ascii="Times New Roman" w:hAnsi="Times New Roman"/>
          <w:sz w:val="21"/>
          <w:szCs w:val="21"/>
        </w:rPr>
      </w:pPr>
      <w:r>
        <w:rPr>
          <w:rFonts w:hint="eastAsia" w:cs="宋体"/>
          <w:sz w:val="21"/>
          <w:szCs w:val="21"/>
        </w:rPr>
        <w:t>总经理批准经审定的仪器设备采购、停用、降级、报废报告或申请。</w:t>
      </w:r>
    </w:p>
    <w:p>
      <w:pPr>
        <w:pStyle w:val="3"/>
        <w:keepNext w:val="0"/>
        <w:keepLines w:val="0"/>
        <w:pageBreakBefore w:val="0"/>
        <w:widowControl/>
        <w:numPr>
          <w:ilvl w:val="2"/>
          <w:numId w:val="2"/>
        </w:numPr>
        <w:kinsoku/>
        <w:wordWrap/>
        <w:overflowPunct/>
        <w:topLinePunct w:val="0"/>
        <w:autoSpaceDE/>
        <w:autoSpaceDN/>
        <w:bidi w:val="0"/>
        <w:adjustRightInd/>
        <w:snapToGrid/>
        <w:spacing w:beforeAutospacing="0" w:afterAutospacing="0"/>
        <w:ind w:left="0" w:firstLine="0"/>
        <w:jc w:val="both"/>
        <w:textAlignment w:val="auto"/>
        <w:outlineLvl w:val="2"/>
        <w:rPr>
          <w:rFonts w:ascii="Times New Roman" w:hAnsi="Times New Roman"/>
          <w:sz w:val="21"/>
          <w:szCs w:val="21"/>
        </w:rPr>
      </w:pPr>
      <w:r>
        <w:rPr>
          <w:rFonts w:hint="eastAsia" w:cs="宋体"/>
          <w:sz w:val="21"/>
          <w:szCs w:val="21"/>
        </w:rPr>
        <w:t>监督员对仪器设备的使用进行不定期监督。当仪器设备使用不符合要求时，应报综合办公室、技术负责人进行处理。</w:t>
      </w:r>
    </w:p>
    <w:p>
      <w:pPr>
        <w:pStyle w:val="3"/>
        <w:numPr>
          <w:ilvl w:val="1"/>
          <w:numId w:val="2"/>
        </w:numPr>
        <w:spacing w:beforeAutospacing="0" w:afterAutospacing="0"/>
        <w:ind w:left="0" w:firstLine="0"/>
        <w:jc w:val="both"/>
        <w:outlineLvl w:val="1"/>
        <w:rPr>
          <w:rFonts w:ascii="Times New Roman" w:hAnsi="Times New Roman"/>
          <w:b/>
          <w:sz w:val="21"/>
          <w:szCs w:val="21"/>
        </w:rPr>
      </w:pPr>
      <w:r>
        <w:rPr>
          <w:rFonts w:hint="eastAsia" w:cs="宋体"/>
          <w:b/>
          <w:sz w:val="21"/>
          <w:szCs w:val="21"/>
        </w:rPr>
        <w:t>程序</w:t>
      </w:r>
    </w:p>
    <w:p>
      <w:pPr>
        <w:pStyle w:val="3"/>
        <w:keepNext w:val="0"/>
        <w:keepLines w:val="0"/>
        <w:pageBreakBefore w:val="0"/>
        <w:widowControl/>
        <w:numPr>
          <w:ilvl w:val="2"/>
          <w:numId w:val="2"/>
        </w:numPr>
        <w:kinsoku/>
        <w:wordWrap/>
        <w:overflowPunct/>
        <w:topLinePunct w:val="0"/>
        <w:autoSpaceDE/>
        <w:autoSpaceDN/>
        <w:bidi w:val="0"/>
        <w:adjustRightInd/>
        <w:snapToGrid/>
        <w:spacing w:beforeAutospacing="0" w:afterAutospacing="0"/>
        <w:ind w:left="0" w:firstLine="0"/>
        <w:jc w:val="both"/>
        <w:textAlignment w:val="auto"/>
        <w:outlineLvl w:val="2"/>
        <w:rPr>
          <w:rFonts w:hint="eastAsia" w:cs="宋体"/>
          <w:sz w:val="21"/>
          <w:szCs w:val="21"/>
        </w:rPr>
      </w:pPr>
      <w:r>
        <w:rPr>
          <w:rFonts w:hint="eastAsia" w:cs="宋体"/>
          <w:sz w:val="21"/>
          <w:szCs w:val="21"/>
        </w:rPr>
        <w:t>仪器设备、标准物质的配置</w:t>
      </w:r>
    </w:p>
    <w:p>
      <w:pPr>
        <w:pStyle w:val="3"/>
        <w:numPr>
          <w:ilvl w:val="3"/>
          <w:numId w:val="2"/>
        </w:numPr>
        <w:bidi w:val="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本公司按所检验项目的标准、规范及检验方法要求，合理配置所需的仪器设备（包括样品制备、数据处理与分析、软件等）和标准物质。检验室要建立《仪器设备台账》、《仪器设备履历表》，对于计量器具还要建立《计量器具周期检定台账》、《计量器具历史记录卡》、《标准物质一览表》等档案。</w:t>
      </w:r>
    </w:p>
    <w:p>
      <w:pPr>
        <w:pStyle w:val="3"/>
        <w:numPr>
          <w:ilvl w:val="3"/>
          <w:numId w:val="2"/>
        </w:numPr>
        <w:spacing w:beforeAutospacing="0" w:afterAutospacing="0"/>
        <w:ind w:left="0" w:firstLine="0"/>
        <w:jc w:val="both"/>
        <w:outlineLvl w:val="3"/>
        <w:rPr>
          <w:rFonts w:ascii="Times New Roman" w:hAnsi="Times New Roman"/>
          <w:sz w:val="21"/>
          <w:szCs w:val="21"/>
        </w:rPr>
      </w:pPr>
      <w:r>
        <w:rPr>
          <w:rFonts w:hint="eastAsia" w:cs="宋体"/>
          <w:sz w:val="21"/>
          <w:szCs w:val="21"/>
        </w:rPr>
        <w:t>使用外部仪器设备</w:t>
      </w:r>
    </w:p>
    <w:p>
      <w:pPr>
        <w:pStyle w:val="7"/>
        <w:numPr>
          <w:ilvl w:val="4"/>
          <w:numId w:val="2"/>
        </w:numPr>
        <w:tabs>
          <w:tab w:val="clear" w:pos="945"/>
        </w:tabs>
        <w:ind w:left="5" w:hanging="5"/>
        <w:rPr>
          <w:rFonts w:hint="default" w:ascii="Times New Roman" w:hAnsi="Times New Roman" w:eastAsia="宋体"/>
        </w:rPr>
      </w:pPr>
      <w:r>
        <w:rPr>
          <w:rFonts w:ascii="宋体" w:eastAsia="宋体" w:cs="宋体"/>
        </w:rPr>
        <w:t>借用仪器设备必须限制在使用频次低、价格昂贵或特殊的检测设备范围，并经技术负责人批准后实施。检验过程中发生停电，备用电源又无法工作时，可以借用其它单位设备进行检验。但借用单位必须是通过资质认定的单位，相应设备的技术要求、计量检定状态、管理现状应符合本程序的规定。</w:t>
      </w:r>
    </w:p>
    <w:p>
      <w:pPr>
        <w:pStyle w:val="7"/>
        <w:ind w:left="5" w:hanging="5"/>
        <w:rPr>
          <w:rFonts w:hint="default" w:ascii="Times New Roman" w:hAnsi="Times New Roman" w:eastAsia="宋体"/>
        </w:rPr>
      </w:pPr>
      <w:r>
        <w:rPr>
          <w:rFonts w:hint="default" w:ascii="Times New Roman" w:hAnsi="Times New Roman" w:eastAsia="宋体"/>
        </w:rPr>
        <w:t xml:space="preserve"> </w:t>
      </w:r>
      <w:r>
        <w:rPr>
          <w:rFonts w:ascii="宋体" w:eastAsia="宋体" w:cs="宋体"/>
        </w:rPr>
        <w:t>技术负责人根据需要和条件决定使用外部仪器设备时，应根据检验标准提出外部仪器设备的技术条件要求。</w:t>
      </w:r>
    </w:p>
    <w:p>
      <w:pPr>
        <w:pStyle w:val="7"/>
        <w:numPr>
          <w:ilvl w:val="4"/>
          <w:numId w:val="2"/>
        </w:numPr>
        <w:ind w:left="5" w:hanging="5"/>
        <w:rPr>
          <w:rFonts w:hint="default" w:ascii="Times New Roman" w:hAnsi="Times New Roman" w:eastAsia="宋体"/>
        </w:rPr>
      </w:pPr>
      <w:r>
        <w:rPr>
          <w:rFonts w:ascii="宋体" w:eastAsia="宋体" w:cs="宋体"/>
        </w:rPr>
        <w:t>使用外部仪器设备除应向持有方索取有效期内合格的计量检定或校准证书外，还应请设备持有人提供设备的操作规程和使用警示，必要时请设备持有人向有关人员演示设备的操作。应确定该仪器设备符合标准要求，并处于完好状态。</w:t>
      </w:r>
    </w:p>
    <w:tbl>
      <w:tblPr>
        <w:tblStyle w:val="4"/>
        <w:tblpPr w:leftFromText="180" w:rightFromText="180" w:vertAnchor="text" w:horzAnchor="page" w:tblpX="1777" w:tblpY="37"/>
        <w:tblOverlap w:val="never"/>
        <w:tblW w:w="9401" w:type="dxa"/>
        <w:tblInd w:w="0" w:type="dxa"/>
        <w:tblBorders>
          <w:top w:val="threeDEmboss" w:color="auto" w:sz="18" w:space="0"/>
          <w:left w:val="none" w:color="auto" w:sz="0" w:space="0"/>
          <w:bottom w:val="threeDEmboss"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66"/>
        <w:gridCol w:w="2452"/>
        <w:gridCol w:w="2249"/>
        <w:gridCol w:w="3134"/>
      </w:tblGrid>
      <w:tr>
        <w:tblPrEx>
          <w:tblBorders>
            <w:top w:val="threeDEmboss" w:color="auto" w:sz="18" w:space="0"/>
            <w:left w:val="none" w:color="auto" w:sz="0" w:space="0"/>
            <w:bottom w:val="threeDEmboss"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018" w:type="dxa"/>
            <w:gridSpan w:val="2"/>
            <w:vMerge w:val="restart"/>
            <w:tcBorders>
              <w:tl2br w:val="nil"/>
              <w:tr2bl w:val="nil"/>
            </w:tcBorders>
            <w:vAlign w:val="center"/>
          </w:tcPr>
          <w:p>
            <w:pPr>
              <w:pStyle w:val="6"/>
              <w:widowControl w:val="0"/>
              <w:ind w:firstLine="420"/>
              <w:jc w:val="center"/>
              <w:rPr>
                <w:rFonts w:ascii="黑体" w:hAnsi="黑体" w:eastAsia="黑体" w:cs="黑体"/>
                <w:szCs w:val="21"/>
              </w:rPr>
            </w:pPr>
            <w:r>
              <w:rPr>
                <w:rFonts w:hint="eastAsia" w:ascii="黑体" w:hAnsi="黑体" w:eastAsia="黑体" w:cs="黑体"/>
                <w:szCs w:val="21"/>
              </w:rPr>
              <w:t>仪器设备（含软件）和标准物质管理程序</w:t>
            </w:r>
          </w:p>
        </w:tc>
        <w:tc>
          <w:tcPr>
            <w:tcW w:w="2249" w:type="dxa"/>
            <w:tcBorders>
              <w:tl2br w:val="nil"/>
              <w:tr2bl w:val="nil"/>
            </w:tcBorders>
            <w:vAlign w:val="center"/>
          </w:tcPr>
          <w:p>
            <w:pPr>
              <w:pStyle w:val="2"/>
              <w:pBdr>
                <w:bottom w:val="none" w:color="auto" w:sz="0" w:space="0"/>
              </w:pBdr>
              <w:tabs>
                <w:tab w:val="center" w:pos="4153"/>
                <w:tab w:val="right" w:pos="8306"/>
              </w:tabs>
              <w:rPr>
                <w:rFonts w:hint="default" w:hAnsi="黑体"/>
                <w:sz w:val="21"/>
                <w:szCs w:val="21"/>
              </w:rPr>
            </w:pPr>
            <w:r>
              <w:rPr>
                <w:rFonts w:hAnsi="黑体" w:cs="黑体"/>
                <w:sz w:val="21"/>
                <w:szCs w:val="21"/>
              </w:rPr>
              <w:t>页  数</w:t>
            </w:r>
          </w:p>
        </w:tc>
        <w:tc>
          <w:tcPr>
            <w:tcW w:w="3134" w:type="dxa"/>
            <w:tcBorders>
              <w:tl2br w:val="nil"/>
              <w:tr2bl w:val="nil"/>
            </w:tcBorders>
            <w:vAlign w:val="center"/>
          </w:tcPr>
          <w:p>
            <w:pPr>
              <w:pStyle w:val="2"/>
              <w:pBdr>
                <w:bottom w:val="none" w:color="auto" w:sz="0" w:space="0"/>
              </w:pBdr>
              <w:tabs>
                <w:tab w:val="center" w:pos="4153"/>
                <w:tab w:val="right" w:pos="8306"/>
              </w:tabs>
              <w:rPr>
                <w:rFonts w:hint="default" w:hAnsi="黑体"/>
                <w:sz w:val="21"/>
                <w:szCs w:val="21"/>
              </w:rPr>
            </w:pPr>
            <w:r>
              <w:rPr>
                <w:rFonts w:hAnsi="黑体" w:cs="黑体"/>
                <w:sz w:val="21"/>
                <w:szCs w:val="21"/>
              </w:rPr>
              <w:t>第2 页  共</w:t>
            </w:r>
            <w:r>
              <w:rPr>
                <w:rFonts w:hint="eastAsia" w:hAnsi="黑体" w:cs="黑体"/>
                <w:sz w:val="21"/>
                <w:szCs w:val="21"/>
                <w:lang w:val="en-US" w:eastAsia="zh-CN"/>
              </w:rPr>
              <w:t>8</w:t>
            </w:r>
            <w:r>
              <w:rPr>
                <w:rFonts w:hAnsi="黑体" w:cs="黑体"/>
                <w:sz w:val="21"/>
                <w:szCs w:val="21"/>
              </w:rPr>
              <w:t xml:space="preserve"> 页</w:t>
            </w:r>
          </w:p>
        </w:tc>
      </w:tr>
      <w:tr>
        <w:tblPrEx>
          <w:tblBorders>
            <w:top w:val="threeDEmboss" w:color="auto" w:sz="18" w:space="0"/>
            <w:left w:val="none" w:color="auto" w:sz="0" w:space="0"/>
            <w:bottom w:val="threeDEmboss"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018" w:type="dxa"/>
            <w:gridSpan w:val="2"/>
            <w:vMerge w:val="continue"/>
            <w:tcBorders>
              <w:tl2br w:val="nil"/>
              <w:tr2bl w:val="nil"/>
            </w:tcBorders>
          </w:tcPr>
          <w:p>
            <w:pPr>
              <w:pStyle w:val="6"/>
              <w:widowControl w:val="0"/>
              <w:ind w:firstLine="420"/>
              <w:rPr>
                <w:rFonts w:ascii="黑体" w:hAnsi="黑体" w:eastAsia="黑体" w:cs="黑体"/>
                <w:szCs w:val="21"/>
              </w:rPr>
            </w:pPr>
          </w:p>
        </w:tc>
        <w:tc>
          <w:tcPr>
            <w:tcW w:w="2249" w:type="dxa"/>
            <w:tcBorders>
              <w:tl2br w:val="nil"/>
              <w:tr2bl w:val="nil"/>
            </w:tcBorders>
            <w:vAlign w:val="center"/>
          </w:tcPr>
          <w:p>
            <w:pPr>
              <w:pStyle w:val="2"/>
              <w:pBdr>
                <w:bottom w:val="none" w:color="auto" w:sz="0" w:space="0"/>
              </w:pBdr>
              <w:tabs>
                <w:tab w:val="center" w:pos="4153"/>
                <w:tab w:val="right" w:pos="8306"/>
              </w:tabs>
              <w:rPr>
                <w:rFonts w:hint="default" w:hAnsi="黑体"/>
                <w:sz w:val="21"/>
                <w:szCs w:val="21"/>
              </w:rPr>
            </w:pPr>
            <w:r>
              <w:rPr>
                <w:rFonts w:hAnsi="黑体" w:cs="黑体"/>
                <w:sz w:val="21"/>
                <w:szCs w:val="21"/>
              </w:rPr>
              <w:t>修改号</w:t>
            </w:r>
          </w:p>
        </w:tc>
        <w:tc>
          <w:tcPr>
            <w:tcW w:w="3134" w:type="dxa"/>
            <w:tcBorders>
              <w:tl2br w:val="nil"/>
              <w:tr2bl w:val="nil"/>
            </w:tcBorders>
            <w:vAlign w:val="center"/>
          </w:tcPr>
          <w:p>
            <w:pPr>
              <w:pStyle w:val="2"/>
              <w:pBdr>
                <w:bottom w:val="none" w:color="auto" w:sz="0" w:space="0"/>
              </w:pBdr>
              <w:tabs>
                <w:tab w:val="center" w:pos="4153"/>
                <w:tab w:val="right" w:pos="8306"/>
              </w:tabs>
              <w:rPr>
                <w:rFonts w:hint="default" w:hAnsi="黑体"/>
                <w:sz w:val="21"/>
                <w:szCs w:val="21"/>
              </w:rPr>
            </w:pPr>
            <w:r>
              <w:rPr>
                <w:rFonts w:hAnsi="黑体" w:cs="黑体"/>
                <w:sz w:val="21"/>
                <w:szCs w:val="21"/>
              </w:rPr>
              <w:t>第2019版 第0次修订</w:t>
            </w:r>
          </w:p>
        </w:tc>
      </w:tr>
      <w:tr>
        <w:tblPrEx>
          <w:tblBorders>
            <w:top w:val="threeDEmboss" w:color="auto" w:sz="18" w:space="0"/>
            <w:left w:val="none" w:color="auto" w:sz="0" w:space="0"/>
            <w:bottom w:val="threeDEmboss"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66" w:type="dxa"/>
            <w:tcBorders>
              <w:tl2br w:val="nil"/>
              <w:tr2bl w:val="nil"/>
            </w:tcBorders>
          </w:tcPr>
          <w:p>
            <w:pPr>
              <w:pStyle w:val="6"/>
              <w:widowControl w:val="0"/>
              <w:ind w:firstLine="420"/>
              <w:rPr>
                <w:rFonts w:ascii="黑体" w:hAnsi="黑体" w:eastAsia="黑体" w:cs="黑体"/>
                <w:szCs w:val="21"/>
              </w:rPr>
            </w:pPr>
            <w:r>
              <w:rPr>
                <w:rFonts w:hint="eastAsia" w:ascii="黑体" w:hAnsi="黑体" w:eastAsia="黑体" w:cs="黑体"/>
                <w:szCs w:val="21"/>
              </w:rPr>
              <w:t>文件编号</w:t>
            </w:r>
          </w:p>
        </w:tc>
        <w:tc>
          <w:tcPr>
            <w:tcW w:w="2452" w:type="dxa"/>
            <w:tcBorders>
              <w:tl2br w:val="nil"/>
              <w:tr2bl w:val="nil"/>
            </w:tcBorders>
          </w:tcPr>
          <w:p>
            <w:pPr>
              <w:pStyle w:val="6"/>
              <w:widowControl w:val="0"/>
              <w:ind w:firstLine="420"/>
              <w:rPr>
                <w:rFonts w:ascii="黑体" w:hAnsi="黑体" w:eastAsia="黑体" w:cs="黑体"/>
                <w:szCs w:val="21"/>
              </w:rPr>
            </w:pPr>
            <w:r>
              <w:rPr>
                <w:rFonts w:hint="eastAsia" w:ascii="黑体" w:hAnsi="黑体" w:eastAsia="黑体" w:cs="黑体"/>
                <w:szCs w:val="21"/>
              </w:rPr>
              <w:t xml:space="preserve">HBLD/CX06-2019 </w:t>
            </w:r>
          </w:p>
        </w:tc>
        <w:tc>
          <w:tcPr>
            <w:tcW w:w="2249" w:type="dxa"/>
            <w:tcBorders>
              <w:tl2br w:val="nil"/>
              <w:tr2bl w:val="nil"/>
            </w:tcBorders>
            <w:vAlign w:val="center"/>
          </w:tcPr>
          <w:p>
            <w:pPr>
              <w:pStyle w:val="2"/>
              <w:pBdr>
                <w:bottom w:val="none" w:color="auto" w:sz="0" w:space="0"/>
              </w:pBdr>
              <w:tabs>
                <w:tab w:val="center" w:pos="4153"/>
                <w:tab w:val="right" w:pos="8306"/>
              </w:tabs>
              <w:rPr>
                <w:rFonts w:hint="default" w:hAnsi="黑体"/>
                <w:sz w:val="21"/>
                <w:szCs w:val="21"/>
              </w:rPr>
            </w:pPr>
            <w:r>
              <w:rPr>
                <w:rFonts w:hAnsi="黑体" w:cs="黑体"/>
                <w:sz w:val="21"/>
                <w:szCs w:val="21"/>
              </w:rPr>
              <w:t>执行日期</w:t>
            </w:r>
          </w:p>
        </w:tc>
        <w:tc>
          <w:tcPr>
            <w:tcW w:w="3134" w:type="dxa"/>
            <w:tcBorders>
              <w:tl2br w:val="nil"/>
              <w:tr2bl w:val="nil"/>
            </w:tcBorders>
            <w:vAlign w:val="center"/>
          </w:tcPr>
          <w:p>
            <w:pPr>
              <w:pStyle w:val="2"/>
              <w:pBdr>
                <w:bottom w:val="none" w:color="auto" w:sz="0" w:space="0"/>
              </w:pBdr>
              <w:tabs>
                <w:tab w:val="center" w:pos="4153"/>
                <w:tab w:val="right" w:pos="8306"/>
              </w:tabs>
              <w:rPr>
                <w:rFonts w:hint="default" w:hAnsi="黑体"/>
                <w:sz w:val="21"/>
                <w:szCs w:val="21"/>
              </w:rPr>
            </w:pPr>
            <w:r>
              <w:rPr>
                <w:rFonts w:hAnsi="黑体" w:cs="黑体"/>
                <w:sz w:val="21"/>
                <w:szCs w:val="21"/>
              </w:rPr>
              <w:t>2019年1月1日</w:t>
            </w:r>
          </w:p>
        </w:tc>
      </w:tr>
    </w:tbl>
    <w:p>
      <w:pPr>
        <w:pStyle w:val="7"/>
        <w:numPr>
          <w:ilvl w:val="4"/>
          <w:numId w:val="2"/>
        </w:numPr>
        <w:ind w:left="5" w:hanging="5"/>
        <w:rPr>
          <w:rFonts w:hint="default" w:ascii="Times New Roman" w:hAnsi="Times New Roman" w:eastAsia="宋体"/>
        </w:rPr>
      </w:pPr>
      <w:r>
        <w:rPr>
          <w:rFonts w:ascii="宋体" w:eastAsia="宋体" w:cs="宋体"/>
        </w:rPr>
        <w:t>借用、租用或利用客户的设备时，使用该外部仪器设备的检验员必须是本公司有本岗位上岗操作证的人员，由本公司人员操作、记录、出具结果和报告。</w:t>
      </w:r>
    </w:p>
    <w:p>
      <w:pPr>
        <w:pStyle w:val="7"/>
        <w:numPr>
          <w:ilvl w:val="4"/>
          <w:numId w:val="2"/>
        </w:numPr>
        <w:tabs>
          <w:tab w:val="clear" w:pos="945"/>
        </w:tabs>
        <w:ind w:hanging="945" w:hangingChars="450"/>
        <w:rPr>
          <w:rFonts w:hint="default" w:ascii="Times New Roman" w:hAnsi="Times New Roman" w:eastAsia="宋体"/>
        </w:rPr>
      </w:pPr>
      <w:r>
        <w:rPr>
          <w:rFonts w:ascii="宋体" w:eastAsia="宋体" w:cs="宋体"/>
        </w:rPr>
        <w:t>使用外部仪器设备的检验，要在记录中明确写明外借仪器设备的有关信息。</w:t>
      </w:r>
    </w:p>
    <w:p>
      <w:pPr>
        <w:pStyle w:val="3"/>
        <w:keepNext w:val="0"/>
        <w:keepLines w:val="0"/>
        <w:pageBreakBefore w:val="0"/>
        <w:widowControl/>
        <w:numPr>
          <w:ilvl w:val="2"/>
          <w:numId w:val="2"/>
        </w:numPr>
        <w:kinsoku/>
        <w:wordWrap/>
        <w:overflowPunct/>
        <w:topLinePunct w:val="0"/>
        <w:autoSpaceDE/>
        <w:autoSpaceDN/>
        <w:bidi w:val="0"/>
        <w:adjustRightInd/>
        <w:snapToGrid/>
        <w:spacing w:beforeAutospacing="0" w:afterAutospacing="0"/>
        <w:ind w:left="0" w:firstLine="0"/>
        <w:jc w:val="both"/>
        <w:textAlignment w:val="auto"/>
        <w:outlineLvl w:val="2"/>
        <w:rPr>
          <w:rFonts w:ascii="Times New Roman" w:hAnsi="Times New Roman"/>
          <w:sz w:val="21"/>
          <w:szCs w:val="21"/>
        </w:rPr>
      </w:pPr>
      <w:r>
        <w:rPr>
          <w:rFonts w:hint="eastAsia" w:ascii="宋体" w:hAnsi="宋体" w:eastAsia="宋体" w:cs="宋体"/>
          <w:kern w:val="0"/>
          <w:sz w:val="21"/>
          <w:szCs w:val="21"/>
          <w:lang w:val="en-US" w:eastAsia="zh-CN" w:bidi="ar-SA"/>
        </w:rPr>
        <w:t>仪器设备、标准物质的购置与验收</w:t>
      </w:r>
    </w:p>
    <w:p>
      <w:pPr>
        <w:pStyle w:val="3"/>
        <w:numPr>
          <w:ilvl w:val="3"/>
          <w:numId w:val="2"/>
        </w:numPr>
        <w:spacing w:beforeAutospacing="0" w:afterAutospacing="0"/>
        <w:ind w:left="0" w:firstLine="0"/>
        <w:jc w:val="both"/>
        <w:outlineLvl w:val="3"/>
        <w:rPr>
          <w:rFonts w:ascii="Times New Roman" w:hAnsi="Times New Roman"/>
          <w:sz w:val="21"/>
          <w:szCs w:val="21"/>
        </w:rPr>
      </w:pPr>
      <w:r>
        <w:rPr>
          <w:rFonts w:hint="eastAsia" w:cs="宋体"/>
          <w:sz w:val="21"/>
          <w:szCs w:val="21"/>
        </w:rPr>
        <w:t>申购部门申请购置仪器设备、标准物质前应进行调研，必要时编写可行性报告，提出采购计划，填写《仪器设备（含软件）和标准物质购置申请表》报综合办公室审核，技术负责人审定，总经理批准。仪器设备单台</w:t>
      </w:r>
      <w:r>
        <w:rPr>
          <w:rFonts w:ascii="Times New Roman" w:hAnsi="Times New Roman"/>
          <w:sz w:val="21"/>
          <w:szCs w:val="21"/>
        </w:rPr>
        <w:t>(</w:t>
      </w:r>
      <w:r>
        <w:rPr>
          <w:rFonts w:hint="eastAsia" w:cs="宋体"/>
          <w:sz w:val="21"/>
          <w:szCs w:val="21"/>
        </w:rPr>
        <w:t>件</w:t>
      </w:r>
      <w:r>
        <w:rPr>
          <w:rFonts w:ascii="Times New Roman" w:hAnsi="Times New Roman"/>
          <w:sz w:val="21"/>
          <w:szCs w:val="21"/>
        </w:rPr>
        <w:t>)</w:t>
      </w:r>
      <w:r>
        <w:rPr>
          <w:rFonts w:hint="eastAsia" w:cs="宋体"/>
          <w:sz w:val="21"/>
          <w:szCs w:val="21"/>
        </w:rPr>
        <w:t>价值较高的计划还应附可行性报告。计划和报价经技术负责人进行评审。</w:t>
      </w:r>
    </w:p>
    <w:p>
      <w:pPr>
        <w:pStyle w:val="3"/>
        <w:numPr>
          <w:ilvl w:val="3"/>
          <w:numId w:val="2"/>
        </w:numPr>
        <w:spacing w:beforeAutospacing="0" w:afterAutospacing="0"/>
        <w:ind w:left="0" w:firstLine="0"/>
        <w:jc w:val="both"/>
        <w:outlineLvl w:val="3"/>
        <w:rPr>
          <w:rFonts w:ascii="Times New Roman" w:hAnsi="Times New Roman"/>
          <w:sz w:val="21"/>
          <w:szCs w:val="21"/>
        </w:rPr>
      </w:pPr>
      <w:r>
        <w:rPr>
          <w:rFonts w:hint="eastAsia" w:cs="宋体"/>
          <w:sz w:val="21"/>
          <w:szCs w:val="21"/>
        </w:rPr>
        <w:t>综合办公室负责仪器设备和标准物质的外部支持服务和物资供应计划实施，在资格审查合格的供应商中进行服务和供应品采购。具体组织仪器设备的验收。</w:t>
      </w:r>
    </w:p>
    <w:p>
      <w:pPr>
        <w:pStyle w:val="3"/>
        <w:numPr>
          <w:ilvl w:val="3"/>
          <w:numId w:val="2"/>
        </w:numPr>
        <w:spacing w:beforeAutospacing="0" w:afterAutospacing="0"/>
        <w:ind w:left="0" w:firstLine="0"/>
        <w:jc w:val="both"/>
        <w:outlineLvl w:val="3"/>
        <w:rPr>
          <w:rFonts w:ascii="Times New Roman" w:hAnsi="Times New Roman"/>
          <w:sz w:val="21"/>
          <w:szCs w:val="21"/>
        </w:rPr>
      </w:pPr>
      <w:r>
        <w:rPr>
          <w:rFonts w:hint="eastAsia" w:cs="宋体"/>
          <w:sz w:val="21"/>
          <w:szCs w:val="21"/>
        </w:rPr>
        <w:t>技术负责人领导仪器设备的验收。验收前设备应安装或摆放到位，达到使用条件。</w:t>
      </w:r>
    </w:p>
    <w:p>
      <w:pPr>
        <w:pStyle w:val="3"/>
        <w:numPr>
          <w:ilvl w:val="3"/>
          <w:numId w:val="2"/>
        </w:numPr>
        <w:spacing w:beforeAutospacing="0" w:afterAutospacing="0"/>
        <w:ind w:left="0" w:firstLine="0"/>
        <w:jc w:val="both"/>
        <w:outlineLvl w:val="3"/>
        <w:rPr>
          <w:rFonts w:ascii="Times New Roman" w:hAnsi="Times New Roman"/>
          <w:sz w:val="21"/>
          <w:szCs w:val="21"/>
        </w:rPr>
      </w:pPr>
      <w:r>
        <w:rPr>
          <w:rFonts w:hint="eastAsia" w:cs="宋体"/>
          <w:sz w:val="21"/>
          <w:szCs w:val="21"/>
        </w:rPr>
        <w:t>验收时，由设备管理员负责将仪器设备有关资料、软件、标准物质档案等记录存档。外部支持服务和物资供应不符合有关合同或质量要求时，经技术负责人评定后，由综合办公室负责组织检验室与供应商交涉，并按合同规定处理。</w:t>
      </w:r>
    </w:p>
    <w:p>
      <w:pPr>
        <w:pStyle w:val="3"/>
        <w:numPr>
          <w:ilvl w:val="3"/>
          <w:numId w:val="2"/>
        </w:numPr>
        <w:spacing w:beforeAutospacing="0" w:afterAutospacing="0"/>
        <w:ind w:left="0" w:firstLine="0"/>
        <w:jc w:val="both"/>
        <w:outlineLvl w:val="3"/>
        <w:rPr>
          <w:rFonts w:ascii="Times New Roman" w:hAnsi="Times New Roman"/>
          <w:sz w:val="21"/>
          <w:szCs w:val="21"/>
        </w:rPr>
      </w:pPr>
      <w:r>
        <w:rPr>
          <w:rFonts w:hint="eastAsia" w:cs="宋体"/>
          <w:sz w:val="21"/>
          <w:szCs w:val="21"/>
        </w:rPr>
        <w:t>验收、检定不符合的仪器设备、标准物质不得投入使用。调试验收过程中发现不符合合同或本公司计划要求的仪器设备、标准物质，由综合办公室负责组织检验室与供应商交涉，并按合同规定处理。设备脱离公司控制返回后，使用前应对其进行检定或校准。</w:t>
      </w:r>
    </w:p>
    <w:p>
      <w:pPr>
        <w:pStyle w:val="3"/>
        <w:keepNext w:val="0"/>
        <w:keepLines w:val="0"/>
        <w:pageBreakBefore w:val="0"/>
        <w:widowControl/>
        <w:numPr>
          <w:ilvl w:val="2"/>
          <w:numId w:val="2"/>
        </w:numPr>
        <w:kinsoku/>
        <w:wordWrap/>
        <w:overflowPunct/>
        <w:topLinePunct w:val="0"/>
        <w:autoSpaceDE/>
        <w:autoSpaceDN/>
        <w:bidi w:val="0"/>
        <w:adjustRightInd/>
        <w:snapToGrid/>
        <w:spacing w:beforeAutospacing="0" w:afterAutospacing="0"/>
        <w:ind w:left="0" w:firstLine="0"/>
        <w:jc w:val="both"/>
        <w:textAlignment w:val="auto"/>
        <w:outlineLvl w:val="2"/>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仪器设备检定/校准（验证）确认总体要求（也称“量值溯源总体要求”）</w:t>
      </w:r>
    </w:p>
    <w:p>
      <w:pPr>
        <w:pStyle w:val="3"/>
        <w:autoSpaceDE w:val="0"/>
        <w:autoSpaceDN w:val="0"/>
        <w:spacing w:beforeAutospacing="0" w:afterAutospacing="0"/>
        <w:ind w:firstLine="420" w:firstLineChars="200"/>
        <w:jc w:val="both"/>
        <w:rPr>
          <w:rFonts w:ascii="Times New Roman" w:hAnsi="Times New Roman"/>
          <w:sz w:val="21"/>
          <w:szCs w:val="21"/>
        </w:rPr>
      </w:pPr>
      <w:r>
        <w:rPr>
          <w:rFonts w:hint="eastAsia" w:cs="宋体"/>
          <w:sz w:val="21"/>
          <w:szCs w:val="21"/>
        </w:rPr>
        <w:t>本公司对所有仪器设备进行分类管理并制定《仪器设备检定</w:t>
      </w:r>
      <w:r>
        <w:rPr>
          <w:rFonts w:ascii="Times New Roman" w:hAnsi="Times New Roman"/>
          <w:sz w:val="21"/>
          <w:szCs w:val="21"/>
        </w:rPr>
        <w:t>/</w:t>
      </w:r>
      <w:r>
        <w:rPr>
          <w:rFonts w:hint="eastAsia" w:cs="宋体"/>
          <w:sz w:val="21"/>
          <w:szCs w:val="21"/>
        </w:rPr>
        <w:t>校准（验证）确认总体要求》作为技术文件来指导检定</w:t>
      </w:r>
      <w:r>
        <w:rPr>
          <w:rFonts w:ascii="Times New Roman" w:hAnsi="Times New Roman"/>
          <w:sz w:val="21"/>
          <w:szCs w:val="21"/>
        </w:rPr>
        <w:t>(</w:t>
      </w:r>
      <w:r>
        <w:rPr>
          <w:rFonts w:hint="eastAsia" w:cs="宋体"/>
          <w:sz w:val="21"/>
          <w:szCs w:val="21"/>
        </w:rPr>
        <w:t>验证</w:t>
      </w:r>
      <w:r>
        <w:rPr>
          <w:rFonts w:ascii="Times New Roman" w:hAnsi="Times New Roman"/>
          <w:sz w:val="21"/>
          <w:szCs w:val="21"/>
        </w:rPr>
        <w:t>)</w:t>
      </w:r>
      <w:r>
        <w:rPr>
          <w:rFonts w:hint="eastAsia" w:cs="宋体"/>
          <w:sz w:val="21"/>
          <w:szCs w:val="21"/>
        </w:rPr>
        <w:t>、校准、确认等工作。它是统领每一类、每一台仪器设备通过何种方式实施溯源的具体规定的总要求。包括具体仪器设备的检定（验证）、校准、确认、期间核查、维护保养等各类工作的计划与实施要求，以及其使用环境技术条件、操作授权、相关设备操作规程编制与否的要求等。设备管理员负责编制《仪器设备的校准和</w:t>
      </w:r>
      <w:r>
        <w:rPr>
          <w:rFonts w:ascii="Times New Roman" w:hAnsi="Times New Roman"/>
          <w:sz w:val="21"/>
          <w:szCs w:val="21"/>
        </w:rPr>
        <w:t>/</w:t>
      </w:r>
      <w:r>
        <w:rPr>
          <w:rFonts w:hint="eastAsia" w:cs="宋体"/>
          <w:sz w:val="21"/>
          <w:szCs w:val="21"/>
        </w:rPr>
        <w:t>或检定（验证）、确认的总体要求》。编制步骤包括：</w:t>
      </w:r>
    </w:p>
    <w:p>
      <w:pPr>
        <w:pStyle w:val="3"/>
        <w:numPr>
          <w:ilvl w:val="3"/>
          <w:numId w:val="2"/>
        </w:numPr>
        <w:spacing w:beforeAutospacing="0" w:afterAutospacing="0"/>
        <w:ind w:left="0" w:firstLine="0"/>
        <w:jc w:val="both"/>
        <w:outlineLvl w:val="3"/>
        <w:rPr>
          <w:rFonts w:ascii="Times New Roman" w:hAnsi="Times New Roman"/>
          <w:sz w:val="21"/>
          <w:szCs w:val="21"/>
        </w:rPr>
      </w:pPr>
      <w:r>
        <w:rPr>
          <w:rFonts w:hint="eastAsia" w:cs="宋体"/>
          <w:sz w:val="21"/>
          <w:szCs w:val="21"/>
        </w:rPr>
        <w:t>摸清所有仪器设备底数，按量值溯源方式（检定、校准、需进行功能和性能的验证、确认设备）进行分类管理。</w:t>
      </w:r>
    </w:p>
    <w:p>
      <w:pPr>
        <w:pStyle w:val="3"/>
        <w:numPr>
          <w:ilvl w:val="3"/>
          <w:numId w:val="2"/>
        </w:numPr>
        <w:spacing w:beforeAutospacing="0" w:afterAutospacing="0"/>
        <w:ind w:left="0" w:firstLine="0"/>
        <w:jc w:val="both"/>
        <w:outlineLvl w:val="3"/>
        <w:rPr>
          <w:rFonts w:ascii="Times New Roman" w:hAnsi="Times New Roman"/>
          <w:sz w:val="21"/>
          <w:szCs w:val="21"/>
        </w:rPr>
      </w:pPr>
      <w:r>
        <w:rPr>
          <w:rFonts w:hint="eastAsia" w:cs="宋体"/>
          <w:sz w:val="21"/>
          <w:szCs w:val="21"/>
        </w:rPr>
        <w:t>对仪器设备技术参数（性能指标）的进一步确认。应根据性能指标列出需要进行量值溯源的参数，即对结果有重要影响的仪器的关键量或值，一台仪器可能有几个量值需要控制。可以参考检定</w:t>
      </w:r>
      <w:r>
        <w:rPr>
          <w:rFonts w:ascii="Times New Roman" w:hAnsi="Times New Roman"/>
          <w:sz w:val="21"/>
          <w:szCs w:val="21"/>
        </w:rPr>
        <w:t>/</w:t>
      </w:r>
      <w:r>
        <w:rPr>
          <w:rFonts w:hint="eastAsia" w:cs="宋体"/>
          <w:sz w:val="21"/>
          <w:szCs w:val="21"/>
        </w:rPr>
        <w:t>校准机构提出的常用量程和精度，但不能无确认的使用其建议。</w:t>
      </w:r>
    </w:p>
    <w:p>
      <w:pPr>
        <w:pStyle w:val="3"/>
        <w:numPr>
          <w:ilvl w:val="3"/>
          <w:numId w:val="2"/>
        </w:numPr>
        <w:spacing w:beforeAutospacing="0" w:afterAutospacing="0"/>
        <w:ind w:left="0" w:firstLine="0"/>
        <w:jc w:val="both"/>
        <w:outlineLvl w:val="3"/>
        <w:rPr>
          <w:rFonts w:ascii="Times New Roman" w:hAnsi="Times New Roman"/>
          <w:sz w:val="21"/>
          <w:szCs w:val="21"/>
        </w:rPr>
      </w:pPr>
      <w:r>
        <w:rPr>
          <w:rFonts w:hint="eastAsia" w:cs="宋体"/>
          <w:sz w:val="21"/>
          <w:szCs w:val="21"/>
        </w:rPr>
        <w:t>确定量值溯源的机构。</w:t>
      </w:r>
    </w:p>
    <w:p>
      <w:pPr>
        <w:pStyle w:val="3"/>
        <w:numPr>
          <w:ilvl w:val="3"/>
          <w:numId w:val="2"/>
        </w:numPr>
        <w:spacing w:beforeAutospacing="0" w:afterAutospacing="0"/>
        <w:ind w:left="0" w:firstLine="0"/>
        <w:jc w:val="both"/>
        <w:outlineLvl w:val="3"/>
        <w:rPr>
          <w:rFonts w:ascii="Times New Roman" w:hAnsi="Times New Roman"/>
          <w:sz w:val="21"/>
          <w:szCs w:val="21"/>
        </w:rPr>
      </w:pPr>
      <w:r>
        <w:rPr>
          <w:rFonts w:hint="eastAsia" w:cs="宋体"/>
          <w:sz w:val="21"/>
          <w:szCs w:val="21"/>
        </w:rPr>
        <w:t>对不能溯源至国家基准的处理</w:t>
      </w:r>
    </w:p>
    <w:p>
      <w:pPr>
        <w:autoSpaceDE w:val="0"/>
        <w:autoSpaceDN w:val="0"/>
        <w:adjustRightInd w:val="0"/>
        <w:ind w:firstLine="420" w:firstLineChars="200"/>
        <w:rPr>
          <w:rFonts w:ascii="黑体" w:hAnsi="宋体" w:eastAsia="黑体" w:cs="黑体"/>
          <w:szCs w:val="21"/>
        </w:rPr>
      </w:pPr>
      <w:r>
        <w:rPr>
          <w:rFonts w:hint="eastAsia" w:ascii="宋体" w:hAnsi="宋体" w:eastAsia="宋体" w:cs="宋体"/>
          <w:szCs w:val="21"/>
        </w:rPr>
        <w:t>对于未建立计量基准的量值，检测结果无法通过检定、校准溯源到国家基准的，可通过设备比对、</w:t>
      </w:r>
    </w:p>
    <w:p>
      <w:pPr>
        <w:autoSpaceDE w:val="0"/>
        <w:autoSpaceDN w:val="0"/>
        <w:adjustRightInd w:val="0"/>
        <w:rPr>
          <w:rFonts w:ascii="黑体" w:hAnsi="宋体" w:eastAsia="黑体" w:cs="黑体"/>
          <w:szCs w:val="21"/>
        </w:rPr>
      </w:pPr>
      <w:r>
        <w:rPr>
          <w:rFonts w:hint="eastAsia" w:ascii="宋体" w:hAnsi="宋体" w:eastAsia="宋体" w:cs="宋体"/>
          <w:szCs w:val="21"/>
        </w:rPr>
        <w:t>参加能力验证等途径来验证检测结果，综合办公室要保存比对或验证的满意证据。可把此项工作纳入年度结果质量控制计划中一并实施。针对个别因无检定规程和校准规范，溯源机构也无法进行检定或校准的设备，如可能，检验室可编制文件化的内部校准规程，并经过方法验证和技术评审；设备管理员在实施内部校准前应经过必要的培训，获得相应的资格而持证上岗；校准结果数据必须记录，应编制《内部校准报告》，并由技术负责人批准。应尽可能地与其他检测机构进行数据比对，以取得满意的结果。</w:t>
      </w:r>
    </w:p>
    <w:p>
      <w:pPr>
        <w:pStyle w:val="3"/>
        <w:numPr>
          <w:ilvl w:val="3"/>
          <w:numId w:val="2"/>
        </w:numPr>
        <w:spacing w:beforeAutospacing="0" w:afterAutospacing="0"/>
        <w:ind w:left="0" w:firstLine="0"/>
        <w:jc w:val="both"/>
        <w:outlineLvl w:val="3"/>
        <w:rPr>
          <w:rFonts w:ascii="Times New Roman" w:hAnsi="Times New Roman"/>
          <w:sz w:val="21"/>
          <w:szCs w:val="21"/>
        </w:rPr>
      </w:pPr>
      <w:r>
        <w:rPr>
          <w:rFonts w:hint="eastAsia" w:cs="宋体"/>
          <w:sz w:val="21"/>
          <w:szCs w:val="21"/>
        </w:rPr>
        <w:t>确定溯源周期</w:t>
      </w:r>
    </w:p>
    <w:p>
      <w:pPr>
        <w:autoSpaceDE w:val="0"/>
        <w:autoSpaceDN w:val="0"/>
        <w:adjustRightInd w:val="0"/>
        <w:ind w:firstLine="420" w:firstLineChars="200"/>
        <w:rPr>
          <w:rFonts w:ascii="黑体" w:hAnsi="宋体" w:eastAsia="黑体" w:cs="黑体"/>
          <w:szCs w:val="21"/>
        </w:rPr>
      </w:pPr>
      <w:r>
        <w:rPr>
          <w:rFonts w:hint="eastAsia" w:ascii="宋体" w:hAnsi="宋体" w:eastAsia="宋体" w:cs="宋体"/>
          <w:szCs w:val="21"/>
        </w:rPr>
        <w:t>要依据检定</w:t>
      </w:r>
      <w:r>
        <w:rPr>
          <w:rFonts w:hint="eastAsia" w:ascii="黑体" w:hAnsi="宋体" w:eastAsia="黑体" w:cs="黑体"/>
          <w:szCs w:val="21"/>
        </w:rPr>
        <w:t>/</w:t>
      </w:r>
      <w:r>
        <w:rPr>
          <w:rFonts w:hint="eastAsia" w:ascii="宋体" w:hAnsi="宋体" w:eastAsia="宋体" w:cs="宋体"/>
          <w:szCs w:val="21"/>
        </w:rPr>
        <w:t>校准证书中给出的有效期或建议给出的有效期确定。</w:t>
      </w:r>
    </w:p>
    <w:tbl>
      <w:tblPr>
        <w:tblStyle w:val="4"/>
        <w:tblpPr w:leftFromText="180" w:rightFromText="180" w:vertAnchor="text" w:horzAnchor="page" w:tblpX="1857" w:tblpY="56"/>
        <w:tblOverlap w:val="never"/>
        <w:tblW w:w="9401" w:type="dxa"/>
        <w:tblInd w:w="0" w:type="dxa"/>
        <w:tblBorders>
          <w:top w:val="threeDEmboss" w:color="auto" w:sz="18" w:space="0"/>
          <w:left w:val="none" w:color="auto" w:sz="0" w:space="0"/>
          <w:bottom w:val="threeDEmboss"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66"/>
        <w:gridCol w:w="2452"/>
        <w:gridCol w:w="2249"/>
        <w:gridCol w:w="3134"/>
      </w:tblGrid>
      <w:tr>
        <w:tblPrEx>
          <w:tblBorders>
            <w:top w:val="threeDEmboss" w:color="auto" w:sz="18" w:space="0"/>
            <w:left w:val="none" w:color="auto" w:sz="0" w:space="0"/>
            <w:bottom w:val="threeDEmboss"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018" w:type="dxa"/>
            <w:gridSpan w:val="2"/>
            <w:vMerge w:val="restart"/>
            <w:tcBorders>
              <w:tl2br w:val="nil"/>
              <w:tr2bl w:val="nil"/>
            </w:tcBorders>
            <w:vAlign w:val="center"/>
          </w:tcPr>
          <w:p>
            <w:pPr>
              <w:pStyle w:val="6"/>
              <w:widowControl w:val="0"/>
              <w:ind w:firstLine="420"/>
              <w:jc w:val="center"/>
              <w:rPr>
                <w:rFonts w:ascii="黑体" w:hAnsi="黑体" w:eastAsia="黑体" w:cs="黑体"/>
                <w:szCs w:val="21"/>
              </w:rPr>
            </w:pPr>
            <w:r>
              <w:rPr>
                <w:rFonts w:hint="eastAsia" w:ascii="黑体" w:hAnsi="黑体" w:eastAsia="黑体" w:cs="黑体"/>
                <w:szCs w:val="21"/>
              </w:rPr>
              <w:t>仪器设备（含软件）和标准物质管理程序</w:t>
            </w:r>
          </w:p>
        </w:tc>
        <w:tc>
          <w:tcPr>
            <w:tcW w:w="2249" w:type="dxa"/>
            <w:tcBorders>
              <w:tl2br w:val="nil"/>
              <w:tr2bl w:val="nil"/>
            </w:tcBorders>
            <w:vAlign w:val="center"/>
          </w:tcPr>
          <w:p>
            <w:pPr>
              <w:pStyle w:val="2"/>
              <w:pBdr>
                <w:bottom w:val="none" w:color="auto" w:sz="0" w:space="0"/>
              </w:pBdr>
              <w:tabs>
                <w:tab w:val="center" w:pos="4153"/>
                <w:tab w:val="right" w:pos="8306"/>
              </w:tabs>
              <w:rPr>
                <w:rFonts w:hint="default" w:hAnsi="黑体"/>
                <w:sz w:val="21"/>
                <w:szCs w:val="21"/>
              </w:rPr>
            </w:pPr>
            <w:r>
              <w:rPr>
                <w:rFonts w:hAnsi="黑体" w:cs="黑体"/>
                <w:sz w:val="21"/>
                <w:szCs w:val="21"/>
              </w:rPr>
              <w:t>页  数</w:t>
            </w:r>
          </w:p>
        </w:tc>
        <w:tc>
          <w:tcPr>
            <w:tcW w:w="3134" w:type="dxa"/>
            <w:tcBorders>
              <w:tl2br w:val="nil"/>
              <w:tr2bl w:val="nil"/>
            </w:tcBorders>
            <w:vAlign w:val="center"/>
          </w:tcPr>
          <w:p>
            <w:pPr>
              <w:pStyle w:val="2"/>
              <w:pBdr>
                <w:bottom w:val="none" w:color="auto" w:sz="0" w:space="0"/>
              </w:pBdr>
              <w:tabs>
                <w:tab w:val="center" w:pos="4153"/>
                <w:tab w:val="right" w:pos="8306"/>
              </w:tabs>
              <w:rPr>
                <w:rFonts w:hint="default" w:hAnsi="黑体"/>
                <w:sz w:val="21"/>
                <w:szCs w:val="21"/>
              </w:rPr>
            </w:pPr>
            <w:r>
              <w:rPr>
                <w:rFonts w:hAnsi="黑体" w:cs="黑体"/>
                <w:sz w:val="21"/>
                <w:szCs w:val="21"/>
              </w:rPr>
              <w:t xml:space="preserve">第3 页  共 </w:t>
            </w:r>
            <w:r>
              <w:rPr>
                <w:rFonts w:hint="eastAsia" w:hAnsi="黑体" w:cs="黑体"/>
                <w:sz w:val="21"/>
                <w:szCs w:val="21"/>
                <w:lang w:val="en-US" w:eastAsia="zh-CN"/>
              </w:rPr>
              <w:t>8</w:t>
            </w:r>
            <w:r>
              <w:rPr>
                <w:rFonts w:hAnsi="黑体" w:cs="黑体"/>
                <w:sz w:val="21"/>
                <w:szCs w:val="21"/>
              </w:rPr>
              <w:t xml:space="preserve"> 页</w:t>
            </w:r>
          </w:p>
        </w:tc>
      </w:tr>
      <w:tr>
        <w:tblPrEx>
          <w:tblBorders>
            <w:top w:val="threeDEmboss" w:color="auto" w:sz="18" w:space="0"/>
            <w:left w:val="none" w:color="auto" w:sz="0" w:space="0"/>
            <w:bottom w:val="threeDEmboss"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018" w:type="dxa"/>
            <w:gridSpan w:val="2"/>
            <w:vMerge w:val="continue"/>
            <w:tcBorders>
              <w:tl2br w:val="nil"/>
              <w:tr2bl w:val="nil"/>
            </w:tcBorders>
          </w:tcPr>
          <w:p>
            <w:pPr>
              <w:pStyle w:val="6"/>
              <w:widowControl w:val="0"/>
              <w:ind w:firstLine="420"/>
              <w:rPr>
                <w:rFonts w:ascii="黑体" w:hAnsi="黑体" w:eastAsia="黑体" w:cs="黑体"/>
                <w:szCs w:val="21"/>
              </w:rPr>
            </w:pPr>
          </w:p>
        </w:tc>
        <w:tc>
          <w:tcPr>
            <w:tcW w:w="2249" w:type="dxa"/>
            <w:tcBorders>
              <w:tl2br w:val="nil"/>
              <w:tr2bl w:val="nil"/>
            </w:tcBorders>
            <w:vAlign w:val="center"/>
          </w:tcPr>
          <w:p>
            <w:pPr>
              <w:pStyle w:val="2"/>
              <w:pBdr>
                <w:bottom w:val="none" w:color="auto" w:sz="0" w:space="0"/>
              </w:pBdr>
              <w:tabs>
                <w:tab w:val="center" w:pos="4153"/>
                <w:tab w:val="right" w:pos="8306"/>
              </w:tabs>
              <w:rPr>
                <w:rFonts w:hint="default" w:hAnsi="黑体"/>
                <w:sz w:val="21"/>
                <w:szCs w:val="21"/>
              </w:rPr>
            </w:pPr>
            <w:r>
              <w:rPr>
                <w:rFonts w:hAnsi="黑体" w:cs="黑体"/>
                <w:sz w:val="21"/>
                <w:szCs w:val="21"/>
              </w:rPr>
              <w:t>修改号</w:t>
            </w:r>
          </w:p>
        </w:tc>
        <w:tc>
          <w:tcPr>
            <w:tcW w:w="3134" w:type="dxa"/>
            <w:tcBorders>
              <w:tl2br w:val="nil"/>
              <w:tr2bl w:val="nil"/>
            </w:tcBorders>
            <w:vAlign w:val="center"/>
          </w:tcPr>
          <w:p>
            <w:pPr>
              <w:pStyle w:val="2"/>
              <w:pBdr>
                <w:bottom w:val="none" w:color="auto" w:sz="0" w:space="0"/>
              </w:pBdr>
              <w:tabs>
                <w:tab w:val="center" w:pos="4153"/>
                <w:tab w:val="right" w:pos="8306"/>
              </w:tabs>
              <w:rPr>
                <w:rFonts w:hint="default" w:hAnsi="黑体"/>
                <w:sz w:val="21"/>
                <w:szCs w:val="21"/>
              </w:rPr>
            </w:pPr>
            <w:r>
              <w:rPr>
                <w:rFonts w:hAnsi="黑体" w:cs="黑体"/>
                <w:sz w:val="21"/>
                <w:szCs w:val="21"/>
              </w:rPr>
              <w:t>第2019版 第0次修订</w:t>
            </w:r>
          </w:p>
        </w:tc>
      </w:tr>
      <w:tr>
        <w:tblPrEx>
          <w:tblBorders>
            <w:top w:val="threeDEmboss" w:color="auto" w:sz="18" w:space="0"/>
            <w:left w:val="none" w:color="auto" w:sz="0" w:space="0"/>
            <w:bottom w:val="threeDEmboss"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66" w:type="dxa"/>
            <w:tcBorders>
              <w:tl2br w:val="nil"/>
              <w:tr2bl w:val="nil"/>
            </w:tcBorders>
          </w:tcPr>
          <w:p>
            <w:pPr>
              <w:pStyle w:val="6"/>
              <w:widowControl w:val="0"/>
              <w:ind w:firstLine="420"/>
              <w:rPr>
                <w:rFonts w:ascii="黑体" w:hAnsi="黑体" w:eastAsia="黑体" w:cs="黑体"/>
                <w:szCs w:val="21"/>
              </w:rPr>
            </w:pPr>
            <w:r>
              <w:rPr>
                <w:rFonts w:hint="eastAsia" w:ascii="黑体" w:hAnsi="黑体" w:eastAsia="黑体" w:cs="黑体"/>
                <w:szCs w:val="21"/>
              </w:rPr>
              <w:t>文件编号</w:t>
            </w:r>
          </w:p>
        </w:tc>
        <w:tc>
          <w:tcPr>
            <w:tcW w:w="2452" w:type="dxa"/>
            <w:tcBorders>
              <w:tl2br w:val="nil"/>
              <w:tr2bl w:val="nil"/>
            </w:tcBorders>
          </w:tcPr>
          <w:p>
            <w:pPr>
              <w:pStyle w:val="6"/>
              <w:widowControl w:val="0"/>
              <w:ind w:firstLine="420"/>
              <w:rPr>
                <w:rFonts w:ascii="黑体" w:hAnsi="黑体" w:eastAsia="黑体" w:cs="黑体"/>
                <w:szCs w:val="21"/>
              </w:rPr>
            </w:pPr>
            <w:r>
              <w:rPr>
                <w:rFonts w:hint="eastAsia" w:ascii="黑体" w:hAnsi="黑体" w:eastAsia="黑体" w:cs="黑体"/>
                <w:szCs w:val="21"/>
              </w:rPr>
              <w:t xml:space="preserve">HBLD/CX06-2019 </w:t>
            </w:r>
          </w:p>
        </w:tc>
        <w:tc>
          <w:tcPr>
            <w:tcW w:w="2249" w:type="dxa"/>
            <w:tcBorders>
              <w:tl2br w:val="nil"/>
              <w:tr2bl w:val="nil"/>
            </w:tcBorders>
            <w:vAlign w:val="center"/>
          </w:tcPr>
          <w:p>
            <w:pPr>
              <w:pStyle w:val="2"/>
              <w:pBdr>
                <w:bottom w:val="none" w:color="auto" w:sz="0" w:space="0"/>
              </w:pBdr>
              <w:tabs>
                <w:tab w:val="center" w:pos="4153"/>
                <w:tab w:val="right" w:pos="8306"/>
              </w:tabs>
              <w:rPr>
                <w:rFonts w:hint="default" w:hAnsi="黑体"/>
                <w:sz w:val="21"/>
                <w:szCs w:val="21"/>
              </w:rPr>
            </w:pPr>
            <w:r>
              <w:rPr>
                <w:rFonts w:hAnsi="黑体" w:cs="黑体"/>
                <w:sz w:val="21"/>
                <w:szCs w:val="21"/>
              </w:rPr>
              <w:t>执行日期</w:t>
            </w:r>
          </w:p>
        </w:tc>
        <w:tc>
          <w:tcPr>
            <w:tcW w:w="3134" w:type="dxa"/>
            <w:tcBorders>
              <w:tl2br w:val="nil"/>
              <w:tr2bl w:val="nil"/>
            </w:tcBorders>
            <w:vAlign w:val="center"/>
          </w:tcPr>
          <w:p>
            <w:pPr>
              <w:pStyle w:val="2"/>
              <w:pBdr>
                <w:bottom w:val="none" w:color="auto" w:sz="0" w:space="0"/>
              </w:pBdr>
              <w:tabs>
                <w:tab w:val="center" w:pos="4153"/>
                <w:tab w:val="right" w:pos="8306"/>
              </w:tabs>
              <w:rPr>
                <w:rFonts w:hint="default" w:hAnsi="黑体"/>
                <w:sz w:val="21"/>
                <w:szCs w:val="21"/>
              </w:rPr>
            </w:pPr>
            <w:r>
              <w:rPr>
                <w:rFonts w:hAnsi="黑体" w:cs="黑体"/>
                <w:sz w:val="21"/>
                <w:szCs w:val="21"/>
              </w:rPr>
              <w:t>2019年1月1日</w:t>
            </w:r>
          </w:p>
        </w:tc>
      </w:tr>
    </w:tbl>
    <w:p>
      <w:pPr>
        <w:pStyle w:val="3"/>
        <w:numPr>
          <w:ilvl w:val="3"/>
          <w:numId w:val="2"/>
        </w:numPr>
        <w:spacing w:beforeAutospacing="0" w:afterAutospacing="0"/>
        <w:ind w:left="0" w:firstLine="0"/>
        <w:jc w:val="both"/>
        <w:outlineLvl w:val="3"/>
        <w:rPr>
          <w:rFonts w:ascii="Times New Roman" w:hAnsi="Times New Roman"/>
          <w:sz w:val="21"/>
          <w:szCs w:val="21"/>
        </w:rPr>
      </w:pPr>
      <w:r>
        <w:rPr>
          <w:rFonts w:hint="eastAsia" w:cs="宋体"/>
          <w:sz w:val="21"/>
          <w:szCs w:val="21"/>
        </w:rPr>
        <w:t>确定需要进行期间核查的主要设备和核查标准</w:t>
      </w:r>
    </w:p>
    <w:p>
      <w:pPr>
        <w:pStyle w:val="3"/>
        <w:spacing w:beforeAutospacing="0" w:afterAutospacing="0"/>
        <w:ind w:firstLine="420" w:firstLineChars="200"/>
        <w:jc w:val="both"/>
        <w:rPr>
          <w:rFonts w:ascii="黑体" w:eastAsia="黑体" w:cs="黑体"/>
          <w:sz w:val="21"/>
          <w:szCs w:val="21"/>
        </w:rPr>
      </w:pPr>
      <w:r>
        <w:rPr>
          <w:rFonts w:hint="eastAsia" w:cs="宋体"/>
          <w:sz w:val="21"/>
          <w:szCs w:val="21"/>
        </w:rPr>
        <w:t>期间核查是仪器设备在两次检定或校准间隔时间内，对仪器设备进行等精度的核查，其目的是为保持设备校准状态的可信度，降低风险，而对设备示值（或其修正值、修正因子）在规定的时间间隔内是否保持其规定的最大允许误差或扩展不确定度或准确度等级的一种核查，旨在保证量值溯源的准确。</w:t>
      </w:r>
    </w:p>
    <w:p>
      <w:pPr>
        <w:pStyle w:val="3"/>
        <w:spacing w:beforeAutospacing="0" w:afterAutospacing="0"/>
        <w:ind w:firstLine="420" w:firstLineChars="200"/>
        <w:jc w:val="both"/>
        <w:rPr>
          <w:rFonts w:ascii="黑体" w:eastAsia="黑体" w:cs="黑体"/>
          <w:sz w:val="21"/>
          <w:szCs w:val="21"/>
        </w:rPr>
      </w:pPr>
      <w:r>
        <w:rPr>
          <w:rFonts w:hint="eastAsia" w:cs="宋体"/>
          <w:sz w:val="21"/>
          <w:szCs w:val="21"/>
        </w:rPr>
        <w:t>并非所有的仪器设备均需实施期间核查，主要应针对：主要或重要的检测设备；稳定性差、易漂移、易于老化且使用频率高的仪器设备；使用环境恶劣的仪器设备；运行过程中有可疑（过载）现象发生的测量设备；有特殊规定或仪器使用说明中有要求的仪器设备。以上设备还必须具备相应的核查标准和实施核查的条件。而对于性能稳定的实物量器具（如砝码、量块、玻璃量具等）、一次性使用的标准物质、对于被测参数不存在可以作为核查标准的实物量具且没有稳定性的被测物品的设备，通常不需要进行期间核查。</w:t>
      </w:r>
    </w:p>
    <w:p>
      <w:pPr>
        <w:pStyle w:val="3"/>
        <w:spacing w:beforeAutospacing="0" w:afterAutospacing="0"/>
        <w:ind w:firstLine="420" w:firstLineChars="200"/>
        <w:jc w:val="both"/>
        <w:rPr>
          <w:rFonts w:ascii="黑体" w:eastAsia="黑体" w:cs="黑体"/>
          <w:sz w:val="21"/>
          <w:szCs w:val="21"/>
        </w:rPr>
      </w:pPr>
      <w:r>
        <w:rPr>
          <w:rFonts w:hint="eastAsia" w:cs="宋体"/>
          <w:sz w:val="21"/>
          <w:szCs w:val="21"/>
        </w:rPr>
        <w:t>期间核查的实施依据《测量溯源性控制程序》、《期间核查程序》执行。</w:t>
      </w:r>
    </w:p>
    <w:p>
      <w:pPr>
        <w:pStyle w:val="3"/>
        <w:numPr>
          <w:ilvl w:val="3"/>
          <w:numId w:val="2"/>
        </w:numPr>
        <w:spacing w:beforeAutospacing="0" w:afterAutospacing="0"/>
        <w:ind w:left="0" w:firstLine="0"/>
        <w:jc w:val="both"/>
        <w:outlineLvl w:val="3"/>
        <w:rPr>
          <w:rFonts w:ascii="Times New Roman" w:hAnsi="Times New Roman"/>
          <w:sz w:val="21"/>
          <w:szCs w:val="21"/>
        </w:rPr>
      </w:pPr>
      <w:r>
        <w:rPr>
          <w:rFonts w:hint="eastAsia" w:cs="宋体"/>
          <w:sz w:val="21"/>
          <w:szCs w:val="21"/>
        </w:rPr>
        <w:t>确定使用环境要求</w:t>
      </w:r>
    </w:p>
    <w:p>
      <w:pPr>
        <w:autoSpaceDE w:val="0"/>
        <w:autoSpaceDN w:val="0"/>
        <w:adjustRightInd w:val="0"/>
        <w:ind w:firstLine="420" w:firstLineChars="200"/>
        <w:rPr>
          <w:rFonts w:ascii="黑体" w:hAnsi="宋体" w:eastAsia="黑体" w:cs="黑体"/>
          <w:szCs w:val="21"/>
        </w:rPr>
      </w:pPr>
      <w:r>
        <w:rPr>
          <w:rFonts w:hint="eastAsia" w:ascii="宋体" w:hAnsi="宋体" w:eastAsia="宋体" w:cs="宋体"/>
          <w:szCs w:val="21"/>
        </w:rPr>
        <w:t>根据检测标准或规范以及仪器说明书的要求，确定仪器设备的使用环境要求，应满足使用条件包括：温度、湿度、振动等。</w:t>
      </w:r>
    </w:p>
    <w:p>
      <w:pPr>
        <w:pStyle w:val="3"/>
        <w:numPr>
          <w:ilvl w:val="3"/>
          <w:numId w:val="2"/>
        </w:numPr>
        <w:spacing w:beforeAutospacing="0" w:afterAutospacing="0"/>
        <w:ind w:left="0" w:firstLine="0"/>
        <w:jc w:val="both"/>
        <w:outlineLvl w:val="3"/>
        <w:rPr>
          <w:rFonts w:ascii="Times New Roman" w:hAnsi="Times New Roman"/>
          <w:sz w:val="21"/>
          <w:szCs w:val="21"/>
        </w:rPr>
      </w:pPr>
      <w:r>
        <w:rPr>
          <w:rFonts w:hint="eastAsia" w:cs="宋体"/>
          <w:sz w:val="21"/>
          <w:szCs w:val="21"/>
        </w:rPr>
        <w:t>确定维护保养要求</w:t>
      </w:r>
    </w:p>
    <w:p>
      <w:pPr>
        <w:pStyle w:val="3"/>
        <w:spacing w:beforeAutospacing="0" w:afterAutospacing="0"/>
        <w:ind w:firstLine="420" w:firstLineChars="200"/>
        <w:jc w:val="both"/>
        <w:rPr>
          <w:rFonts w:ascii="黑体" w:eastAsia="黑体" w:cs="黑体"/>
          <w:sz w:val="14"/>
          <w:szCs w:val="14"/>
        </w:rPr>
      </w:pPr>
      <w:r>
        <w:rPr>
          <w:rFonts w:hint="eastAsia" w:cs="宋体"/>
          <w:kern w:val="2"/>
          <w:sz w:val="21"/>
          <w:szCs w:val="21"/>
        </w:rPr>
        <w:t>仪器设备维护的要求，一般指特定的维护。主要是针对</w:t>
      </w:r>
      <w:r>
        <w:rPr>
          <w:rFonts w:hint="eastAsia" w:cs="宋体"/>
          <w:sz w:val="21"/>
          <w:szCs w:val="21"/>
        </w:rPr>
        <w:t>仪器设备输出的关键量或值产生影响的关键部件进行的维护。要</w:t>
      </w:r>
      <w:r>
        <w:rPr>
          <w:rFonts w:hint="eastAsia" w:cs="宋体"/>
          <w:kern w:val="2"/>
          <w:sz w:val="21"/>
          <w:szCs w:val="21"/>
        </w:rPr>
        <w:t>根据仪器设备的使用说明书或相关设备标准，确定仪器设备的维护保养要求（维护保养周期、方式、控制要求等）</w:t>
      </w:r>
      <w:r>
        <w:rPr>
          <w:rFonts w:hint="eastAsia" w:cs="宋体"/>
          <w:sz w:val="21"/>
          <w:szCs w:val="21"/>
        </w:rPr>
        <w:t>。</w:t>
      </w:r>
    </w:p>
    <w:p>
      <w:pPr>
        <w:pStyle w:val="3"/>
        <w:numPr>
          <w:ilvl w:val="3"/>
          <w:numId w:val="2"/>
        </w:numPr>
        <w:spacing w:beforeAutospacing="0" w:afterAutospacing="0"/>
        <w:ind w:left="0" w:firstLine="0"/>
        <w:jc w:val="both"/>
        <w:outlineLvl w:val="3"/>
        <w:rPr>
          <w:rFonts w:ascii="Times New Roman" w:hAnsi="Times New Roman"/>
          <w:sz w:val="21"/>
          <w:szCs w:val="21"/>
        </w:rPr>
      </w:pPr>
      <w:r>
        <w:rPr>
          <w:rFonts w:hint="eastAsia" w:cs="宋体"/>
          <w:sz w:val="21"/>
          <w:szCs w:val="21"/>
        </w:rPr>
        <w:t>大型仪</w:t>
      </w:r>
      <w:r>
        <w:rPr>
          <w:rFonts w:hint="eastAsia" w:cs="宋体"/>
          <w:kern w:val="2"/>
          <w:sz w:val="21"/>
          <w:szCs w:val="21"/>
        </w:rPr>
        <w:t>器的使用</w:t>
      </w:r>
      <w:r>
        <w:rPr>
          <w:rFonts w:hint="eastAsia" w:cs="宋体"/>
          <w:sz w:val="21"/>
          <w:szCs w:val="21"/>
        </w:rPr>
        <w:t>应授权</w:t>
      </w:r>
    </w:p>
    <w:p>
      <w:pPr>
        <w:autoSpaceDE w:val="0"/>
        <w:autoSpaceDN w:val="0"/>
        <w:adjustRightInd w:val="0"/>
        <w:ind w:firstLine="420" w:firstLineChars="200"/>
        <w:rPr>
          <w:rFonts w:ascii="黑体" w:hAnsi="宋体" w:eastAsia="黑体" w:cs="黑体"/>
          <w:szCs w:val="21"/>
        </w:rPr>
      </w:pPr>
      <w:r>
        <w:rPr>
          <w:rFonts w:hint="eastAsia" w:ascii="宋体" w:hAnsi="宋体" w:eastAsia="宋体" w:cs="宋体"/>
          <w:szCs w:val="21"/>
        </w:rPr>
        <w:t>技术负责人要对大型仪器的使用进行授权。</w:t>
      </w:r>
    </w:p>
    <w:p>
      <w:pPr>
        <w:pStyle w:val="3"/>
        <w:numPr>
          <w:ilvl w:val="3"/>
          <w:numId w:val="2"/>
        </w:numPr>
        <w:spacing w:beforeAutospacing="0" w:afterAutospacing="0"/>
        <w:ind w:left="0" w:firstLine="0"/>
        <w:jc w:val="both"/>
        <w:outlineLvl w:val="3"/>
        <w:rPr>
          <w:rFonts w:ascii="Times New Roman" w:hAnsi="Times New Roman"/>
          <w:sz w:val="21"/>
          <w:szCs w:val="21"/>
        </w:rPr>
      </w:pPr>
      <w:r>
        <w:rPr>
          <w:rFonts w:hint="eastAsia" w:cs="宋体"/>
          <w:sz w:val="21"/>
          <w:szCs w:val="21"/>
        </w:rPr>
        <w:t>确定进行检定</w:t>
      </w:r>
      <w:r>
        <w:rPr>
          <w:rFonts w:ascii="Times New Roman" w:hAnsi="Times New Roman"/>
          <w:sz w:val="21"/>
          <w:szCs w:val="21"/>
        </w:rPr>
        <w:t>/</w:t>
      </w:r>
      <w:r>
        <w:rPr>
          <w:rFonts w:hint="eastAsia" w:cs="宋体"/>
          <w:sz w:val="21"/>
          <w:szCs w:val="21"/>
        </w:rPr>
        <w:t>校准证书确认的依据</w:t>
      </w:r>
    </w:p>
    <w:p>
      <w:pPr>
        <w:autoSpaceDE w:val="0"/>
        <w:autoSpaceDN w:val="0"/>
        <w:adjustRightInd w:val="0"/>
        <w:ind w:firstLine="420" w:firstLineChars="200"/>
        <w:rPr>
          <w:rFonts w:ascii="黑体" w:hAnsi="宋体" w:eastAsia="黑体" w:cs="黑体"/>
          <w:szCs w:val="21"/>
        </w:rPr>
      </w:pPr>
      <w:r>
        <w:rPr>
          <w:rFonts w:hint="eastAsia" w:ascii="宋体" w:hAnsi="宋体" w:eastAsia="宋体" w:cs="宋体"/>
          <w:szCs w:val="21"/>
        </w:rPr>
        <w:t>经检定或校准的仪器设备尤其是校准的设备，其技术参数是否仍然满足检测需要，就需要对仪器设备检定</w:t>
      </w:r>
      <w:r>
        <w:rPr>
          <w:rFonts w:hint="eastAsia" w:ascii="黑体" w:hAnsi="宋体" w:eastAsia="黑体" w:cs="黑体"/>
          <w:szCs w:val="21"/>
        </w:rPr>
        <w:t>/</w:t>
      </w:r>
      <w:r>
        <w:rPr>
          <w:rFonts w:hint="eastAsia" w:ascii="宋体" w:hAnsi="宋体" w:eastAsia="宋体" w:cs="宋体"/>
          <w:szCs w:val="21"/>
        </w:rPr>
        <w:t>校准证书进行确认。对于给出检定合格结论的检定证书，证书中合格结论证明仪器技术参数符合规程要求，但还应检查这些技术参数是否满足具体检测所需要的计量要求。对于校准证书，由于通常不给出仪器是否合格的结论，只给出仪器设备技术参数实际的量值或误差。因此要将证书上的实际校准参数与实验要求进行比较，符合要求的可以继续使用，不符合的则要采取应对措施。具体执行《测量溯源性控制程序》。</w:t>
      </w:r>
    </w:p>
    <w:p>
      <w:pPr>
        <w:pStyle w:val="3"/>
        <w:numPr>
          <w:ilvl w:val="3"/>
          <w:numId w:val="2"/>
        </w:numPr>
        <w:spacing w:beforeAutospacing="0" w:afterAutospacing="0"/>
        <w:ind w:left="0" w:firstLine="0"/>
        <w:jc w:val="both"/>
        <w:outlineLvl w:val="3"/>
        <w:rPr>
          <w:rFonts w:ascii="Times New Roman" w:hAnsi="Times New Roman"/>
          <w:sz w:val="21"/>
          <w:szCs w:val="21"/>
        </w:rPr>
      </w:pPr>
      <w:r>
        <w:rPr>
          <w:rFonts w:hint="eastAsia" w:cs="宋体"/>
          <w:sz w:val="21"/>
          <w:szCs w:val="21"/>
        </w:rPr>
        <w:t>制定文件化的总体要求</w:t>
      </w:r>
    </w:p>
    <w:p>
      <w:pPr>
        <w:autoSpaceDE w:val="0"/>
        <w:autoSpaceDN w:val="0"/>
        <w:adjustRightInd w:val="0"/>
        <w:ind w:firstLine="420" w:firstLineChars="200"/>
        <w:rPr>
          <w:rFonts w:ascii="黑体" w:hAnsi="宋体" w:eastAsia="黑体" w:cs="黑体"/>
          <w:szCs w:val="21"/>
        </w:rPr>
      </w:pPr>
      <w:r>
        <w:rPr>
          <w:rFonts w:hint="eastAsia" w:ascii="宋体" w:hAnsi="宋体" w:eastAsia="宋体" w:cs="宋体"/>
          <w:szCs w:val="21"/>
        </w:rPr>
        <w:t>《仪器设备检定</w:t>
      </w:r>
      <w:r>
        <w:rPr>
          <w:rFonts w:hint="eastAsia" w:ascii="黑体" w:hAnsi="宋体" w:eastAsia="黑体" w:cs="黑体"/>
          <w:szCs w:val="21"/>
        </w:rPr>
        <w:t>/</w:t>
      </w:r>
      <w:r>
        <w:rPr>
          <w:rFonts w:hint="eastAsia" w:ascii="宋体" w:hAnsi="宋体" w:eastAsia="宋体" w:cs="宋体"/>
          <w:szCs w:val="21"/>
        </w:rPr>
        <w:t>校准（验证）确认总体要求》作为本公司内部技术文件，经技术负责人批准后实施，必要时进行修订。</w:t>
      </w:r>
    </w:p>
    <w:p>
      <w:pPr>
        <w:pStyle w:val="3"/>
        <w:numPr>
          <w:ilvl w:val="3"/>
          <w:numId w:val="2"/>
        </w:numPr>
        <w:spacing w:beforeAutospacing="0" w:afterAutospacing="0"/>
        <w:ind w:left="0" w:firstLine="0"/>
        <w:jc w:val="both"/>
        <w:outlineLvl w:val="3"/>
        <w:rPr>
          <w:rFonts w:ascii="Times New Roman" w:cs="宋体"/>
          <w:sz w:val="21"/>
          <w:szCs w:val="21"/>
        </w:rPr>
      </w:pPr>
      <w:r>
        <w:rPr>
          <w:rFonts w:hint="eastAsia" w:cs="宋体"/>
          <w:sz w:val="21"/>
          <w:szCs w:val="21"/>
        </w:rPr>
        <w:t>设备管理员负责设计适宜的记录表格，并做好确认记录。</w:t>
      </w:r>
    </w:p>
    <w:p>
      <w:pPr>
        <w:pStyle w:val="3"/>
        <w:keepNext w:val="0"/>
        <w:keepLines w:val="0"/>
        <w:pageBreakBefore w:val="0"/>
        <w:widowControl/>
        <w:numPr>
          <w:ilvl w:val="2"/>
          <w:numId w:val="2"/>
        </w:numPr>
        <w:kinsoku/>
        <w:wordWrap/>
        <w:overflowPunct/>
        <w:topLinePunct w:val="0"/>
        <w:autoSpaceDE/>
        <w:autoSpaceDN/>
        <w:bidi w:val="0"/>
        <w:adjustRightInd/>
        <w:snapToGrid/>
        <w:spacing w:beforeAutospacing="0" w:afterAutospacing="0"/>
        <w:ind w:left="0" w:firstLine="0"/>
        <w:jc w:val="both"/>
        <w:textAlignment w:val="auto"/>
        <w:outlineLvl w:val="2"/>
        <w:rPr>
          <w:rFonts w:ascii="Times New Roman" w:hAnsi="Times New Roman"/>
          <w:sz w:val="21"/>
          <w:szCs w:val="21"/>
        </w:rPr>
      </w:pPr>
      <w:r>
        <w:rPr>
          <w:rFonts w:hint="eastAsia" w:cs="宋体"/>
          <w:sz w:val="21"/>
          <w:szCs w:val="21"/>
        </w:rPr>
        <w:t>仪器设备的检定、校准</w:t>
      </w:r>
    </w:p>
    <w:p>
      <w:pPr>
        <w:pStyle w:val="3"/>
        <w:numPr>
          <w:ilvl w:val="3"/>
          <w:numId w:val="2"/>
        </w:numPr>
        <w:spacing w:beforeAutospacing="0" w:afterAutospacing="0"/>
        <w:ind w:left="0" w:firstLine="0"/>
        <w:jc w:val="both"/>
        <w:outlineLvl w:val="3"/>
        <w:rPr>
          <w:rFonts w:ascii="Times New Roman" w:cs="宋体"/>
          <w:sz w:val="21"/>
          <w:szCs w:val="21"/>
        </w:rPr>
      </w:pPr>
      <w:r>
        <w:rPr>
          <w:rFonts w:hint="eastAsia" w:cs="宋体"/>
          <w:sz w:val="21"/>
          <w:szCs w:val="21"/>
        </w:rPr>
        <w:t>设备管理员应按《仪器设备检定</w:t>
      </w:r>
      <w:r>
        <w:rPr>
          <w:rFonts w:ascii="Times New Roman" w:hAnsi="Times New Roman"/>
          <w:sz w:val="21"/>
          <w:szCs w:val="21"/>
        </w:rPr>
        <w:t>/</w:t>
      </w:r>
      <w:r>
        <w:rPr>
          <w:rFonts w:hint="eastAsia" w:cs="宋体"/>
          <w:sz w:val="21"/>
          <w:szCs w:val="21"/>
        </w:rPr>
        <w:t>校准（验证）确认总体要求》制定《计量器具周期检定计划》、《内部校准计划》，周检计划中应包括标准物质的溯源要求。</w:t>
      </w:r>
    </w:p>
    <w:p>
      <w:pPr>
        <w:pStyle w:val="3"/>
        <w:numPr>
          <w:ilvl w:val="3"/>
          <w:numId w:val="2"/>
        </w:numPr>
        <w:spacing w:beforeAutospacing="0" w:afterAutospacing="0"/>
        <w:ind w:left="0" w:firstLine="0"/>
        <w:jc w:val="both"/>
        <w:outlineLvl w:val="3"/>
        <w:rPr>
          <w:rFonts w:ascii="Times New Roman" w:hAnsi="Times New Roman"/>
          <w:sz w:val="21"/>
          <w:szCs w:val="21"/>
        </w:rPr>
      </w:pPr>
      <w:r>
        <w:rPr>
          <w:rFonts w:hint="eastAsia" w:cs="宋体"/>
          <w:sz w:val="21"/>
          <w:szCs w:val="21"/>
        </w:rPr>
        <w:t>出具数据的新仪器设备在使用前必须进行检定</w:t>
      </w:r>
      <w:r>
        <w:rPr>
          <w:rFonts w:ascii="Times New Roman" w:hAnsi="Times New Roman"/>
          <w:sz w:val="21"/>
          <w:szCs w:val="21"/>
        </w:rPr>
        <w:t>/</w:t>
      </w:r>
      <w:r>
        <w:rPr>
          <w:rFonts w:hint="eastAsia" w:cs="宋体"/>
          <w:sz w:val="21"/>
          <w:szCs w:val="21"/>
        </w:rPr>
        <w:t>校准、核查。检定</w:t>
      </w:r>
      <w:r>
        <w:rPr>
          <w:rFonts w:ascii="Times New Roman" w:hAnsi="Times New Roman"/>
          <w:sz w:val="21"/>
          <w:szCs w:val="21"/>
        </w:rPr>
        <w:t>/</w:t>
      </w:r>
      <w:r>
        <w:rPr>
          <w:rFonts w:hint="eastAsia" w:cs="宋体"/>
          <w:sz w:val="21"/>
          <w:szCs w:val="21"/>
        </w:rPr>
        <w:t>校准合格后填写《新仪器设备启用审批表》，批准后使用。检定</w:t>
      </w:r>
      <w:r>
        <w:rPr>
          <w:rFonts w:ascii="Times New Roman" w:hAnsi="Times New Roman"/>
          <w:sz w:val="21"/>
          <w:szCs w:val="21"/>
        </w:rPr>
        <w:t>/</w:t>
      </w:r>
      <w:r>
        <w:rPr>
          <w:rFonts w:hint="eastAsia" w:cs="宋体"/>
          <w:sz w:val="21"/>
          <w:szCs w:val="21"/>
        </w:rPr>
        <w:t>校准按《测量溯源性控制程序》执行。启用审批表填写完成后要及时归档。</w:t>
      </w:r>
    </w:p>
    <w:p>
      <w:pPr>
        <w:pStyle w:val="3"/>
        <w:numPr>
          <w:ilvl w:val="3"/>
          <w:numId w:val="2"/>
        </w:numPr>
        <w:spacing w:beforeAutospacing="0" w:afterAutospacing="0"/>
        <w:ind w:left="0" w:firstLine="0"/>
        <w:jc w:val="both"/>
        <w:outlineLvl w:val="3"/>
        <w:rPr>
          <w:rFonts w:ascii="Times New Roman" w:hAnsi="Times New Roman"/>
          <w:sz w:val="21"/>
          <w:szCs w:val="21"/>
        </w:rPr>
      </w:pPr>
      <w:r>
        <w:rPr>
          <w:rFonts w:hint="eastAsia" w:cs="宋体"/>
          <w:sz w:val="21"/>
          <w:szCs w:val="21"/>
        </w:rPr>
        <w:t>当校准产生了一组修正因子时，检验室应确保其所有备份（包括计算机软件中的备份）得到正确更新。综合办公室负责监督检测设备包括硬件和软件的保护，以避免发生致使检验结果失效的调整。</w:t>
      </w:r>
    </w:p>
    <w:tbl>
      <w:tblPr>
        <w:tblStyle w:val="4"/>
        <w:tblpPr w:leftFromText="180" w:rightFromText="180" w:vertAnchor="text" w:horzAnchor="page" w:tblpX="1887" w:tblpY="47"/>
        <w:tblOverlap w:val="never"/>
        <w:tblW w:w="9401" w:type="dxa"/>
        <w:tblInd w:w="0" w:type="dxa"/>
        <w:tblBorders>
          <w:top w:val="threeDEmboss" w:color="auto" w:sz="18" w:space="0"/>
          <w:left w:val="none" w:color="auto" w:sz="0" w:space="0"/>
          <w:bottom w:val="threeDEmboss"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66"/>
        <w:gridCol w:w="2452"/>
        <w:gridCol w:w="2249"/>
        <w:gridCol w:w="3134"/>
      </w:tblGrid>
      <w:tr>
        <w:tblPrEx>
          <w:tblBorders>
            <w:top w:val="threeDEmboss" w:color="auto" w:sz="18" w:space="0"/>
            <w:left w:val="none" w:color="auto" w:sz="0" w:space="0"/>
            <w:bottom w:val="threeDEmboss"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018" w:type="dxa"/>
            <w:gridSpan w:val="2"/>
            <w:vMerge w:val="restart"/>
            <w:tcBorders>
              <w:tl2br w:val="nil"/>
              <w:tr2bl w:val="nil"/>
            </w:tcBorders>
            <w:vAlign w:val="center"/>
          </w:tcPr>
          <w:p>
            <w:pPr>
              <w:pStyle w:val="6"/>
              <w:widowControl w:val="0"/>
              <w:ind w:firstLine="420"/>
              <w:jc w:val="center"/>
              <w:rPr>
                <w:rFonts w:ascii="黑体" w:hAnsi="黑体" w:eastAsia="黑体" w:cs="黑体"/>
                <w:szCs w:val="21"/>
              </w:rPr>
            </w:pPr>
            <w:r>
              <w:rPr>
                <w:rFonts w:hint="eastAsia" w:ascii="黑体" w:hAnsi="黑体" w:eastAsia="黑体" w:cs="黑体"/>
                <w:szCs w:val="21"/>
              </w:rPr>
              <w:t>仪器设备（含软件）和标准物质管理程序</w:t>
            </w:r>
          </w:p>
        </w:tc>
        <w:tc>
          <w:tcPr>
            <w:tcW w:w="2249" w:type="dxa"/>
            <w:tcBorders>
              <w:tl2br w:val="nil"/>
              <w:tr2bl w:val="nil"/>
            </w:tcBorders>
            <w:vAlign w:val="center"/>
          </w:tcPr>
          <w:p>
            <w:pPr>
              <w:pStyle w:val="2"/>
              <w:pBdr>
                <w:bottom w:val="none" w:color="auto" w:sz="0" w:space="0"/>
              </w:pBdr>
              <w:tabs>
                <w:tab w:val="center" w:pos="4153"/>
                <w:tab w:val="right" w:pos="8306"/>
              </w:tabs>
              <w:rPr>
                <w:rFonts w:hint="default" w:hAnsi="黑体"/>
                <w:sz w:val="21"/>
                <w:szCs w:val="21"/>
              </w:rPr>
            </w:pPr>
            <w:r>
              <w:rPr>
                <w:rFonts w:hAnsi="黑体" w:cs="黑体"/>
                <w:sz w:val="21"/>
                <w:szCs w:val="21"/>
              </w:rPr>
              <w:t>页  数</w:t>
            </w:r>
          </w:p>
        </w:tc>
        <w:tc>
          <w:tcPr>
            <w:tcW w:w="3134" w:type="dxa"/>
            <w:tcBorders>
              <w:tl2br w:val="nil"/>
              <w:tr2bl w:val="nil"/>
            </w:tcBorders>
            <w:vAlign w:val="center"/>
          </w:tcPr>
          <w:p>
            <w:pPr>
              <w:pStyle w:val="2"/>
              <w:pBdr>
                <w:bottom w:val="none" w:color="auto" w:sz="0" w:space="0"/>
              </w:pBdr>
              <w:tabs>
                <w:tab w:val="center" w:pos="4153"/>
                <w:tab w:val="right" w:pos="8306"/>
              </w:tabs>
              <w:rPr>
                <w:rFonts w:hint="default" w:hAnsi="黑体"/>
                <w:sz w:val="21"/>
                <w:szCs w:val="21"/>
              </w:rPr>
            </w:pPr>
            <w:r>
              <w:rPr>
                <w:rFonts w:hAnsi="黑体" w:cs="黑体"/>
                <w:sz w:val="21"/>
                <w:szCs w:val="21"/>
              </w:rPr>
              <w:t xml:space="preserve">第4页  共 </w:t>
            </w:r>
            <w:r>
              <w:rPr>
                <w:rFonts w:hint="eastAsia" w:hAnsi="黑体" w:cs="黑体"/>
                <w:sz w:val="21"/>
                <w:szCs w:val="21"/>
                <w:lang w:val="en-US" w:eastAsia="zh-CN"/>
              </w:rPr>
              <w:t>8</w:t>
            </w:r>
            <w:r>
              <w:rPr>
                <w:rFonts w:hAnsi="黑体" w:cs="黑体"/>
                <w:sz w:val="21"/>
                <w:szCs w:val="21"/>
              </w:rPr>
              <w:t xml:space="preserve"> 页</w:t>
            </w:r>
          </w:p>
        </w:tc>
      </w:tr>
      <w:tr>
        <w:tblPrEx>
          <w:tblBorders>
            <w:top w:val="threeDEmboss" w:color="auto" w:sz="18" w:space="0"/>
            <w:left w:val="none" w:color="auto" w:sz="0" w:space="0"/>
            <w:bottom w:val="threeDEmboss"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018" w:type="dxa"/>
            <w:gridSpan w:val="2"/>
            <w:vMerge w:val="continue"/>
            <w:tcBorders>
              <w:tl2br w:val="nil"/>
              <w:tr2bl w:val="nil"/>
            </w:tcBorders>
          </w:tcPr>
          <w:p>
            <w:pPr>
              <w:pStyle w:val="6"/>
              <w:widowControl w:val="0"/>
              <w:ind w:firstLine="420"/>
              <w:rPr>
                <w:rFonts w:ascii="黑体" w:hAnsi="黑体" w:eastAsia="黑体" w:cs="黑体"/>
                <w:szCs w:val="21"/>
              </w:rPr>
            </w:pPr>
          </w:p>
        </w:tc>
        <w:tc>
          <w:tcPr>
            <w:tcW w:w="2249" w:type="dxa"/>
            <w:tcBorders>
              <w:tl2br w:val="nil"/>
              <w:tr2bl w:val="nil"/>
            </w:tcBorders>
            <w:vAlign w:val="center"/>
          </w:tcPr>
          <w:p>
            <w:pPr>
              <w:pStyle w:val="2"/>
              <w:pBdr>
                <w:bottom w:val="none" w:color="auto" w:sz="0" w:space="0"/>
              </w:pBdr>
              <w:tabs>
                <w:tab w:val="center" w:pos="4153"/>
                <w:tab w:val="right" w:pos="8306"/>
              </w:tabs>
              <w:rPr>
                <w:rFonts w:hint="default" w:hAnsi="黑体"/>
                <w:sz w:val="21"/>
                <w:szCs w:val="21"/>
              </w:rPr>
            </w:pPr>
            <w:r>
              <w:rPr>
                <w:rFonts w:hAnsi="黑体" w:cs="黑体"/>
                <w:sz w:val="21"/>
                <w:szCs w:val="21"/>
              </w:rPr>
              <w:t>修改号</w:t>
            </w:r>
          </w:p>
        </w:tc>
        <w:tc>
          <w:tcPr>
            <w:tcW w:w="3134" w:type="dxa"/>
            <w:tcBorders>
              <w:tl2br w:val="nil"/>
              <w:tr2bl w:val="nil"/>
            </w:tcBorders>
            <w:vAlign w:val="center"/>
          </w:tcPr>
          <w:p>
            <w:pPr>
              <w:pStyle w:val="2"/>
              <w:pBdr>
                <w:bottom w:val="none" w:color="auto" w:sz="0" w:space="0"/>
              </w:pBdr>
              <w:tabs>
                <w:tab w:val="center" w:pos="4153"/>
                <w:tab w:val="right" w:pos="8306"/>
              </w:tabs>
              <w:rPr>
                <w:rFonts w:hint="default" w:hAnsi="黑体"/>
                <w:sz w:val="21"/>
                <w:szCs w:val="21"/>
              </w:rPr>
            </w:pPr>
            <w:r>
              <w:rPr>
                <w:rFonts w:hAnsi="黑体" w:cs="黑体"/>
                <w:sz w:val="21"/>
                <w:szCs w:val="21"/>
              </w:rPr>
              <w:t>第2019版 第0次修订</w:t>
            </w:r>
          </w:p>
        </w:tc>
      </w:tr>
      <w:tr>
        <w:tblPrEx>
          <w:tblBorders>
            <w:top w:val="threeDEmboss" w:color="auto" w:sz="18" w:space="0"/>
            <w:left w:val="none" w:color="auto" w:sz="0" w:space="0"/>
            <w:bottom w:val="threeDEmboss"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66" w:type="dxa"/>
            <w:tcBorders>
              <w:tl2br w:val="nil"/>
              <w:tr2bl w:val="nil"/>
            </w:tcBorders>
          </w:tcPr>
          <w:p>
            <w:pPr>
              <w:pStyle w:val="6"/>
              <w:widowControl w:val="0"/>
              <w:ind w:firstLine="420"/>
              <w:rPr>
                <w:rFonts w:ascii="黑体" w:hAnsi="黑体" w:eastAsia="黑体" w:cs="黑体"/>
                <w:szCs w:val="21"/>
              </w:rPr>
            </w:pPr>
            <w:r>
              <w:rPr>
                <w:rFonts w:hint="eastAsia" w:ascii="黑体" w:hAnsi="黑体" w:eastAsia="黑体" w:cs="黑体"/>
                <w:szCs w:val="21"/>
              </w:rPr>
              <w:t>文件编号</w:t>
            </w:r>
          </w:p>
        </w:tc>
        <w:tc>
          <w:tcPr>
            <w:tcW w:w="2452" w:type="dxa"/>
            <w:tcBorders>
              <w:tl2br w:val="nil"/>
              <w:tr2bl w:val="nil"/>
            </w:tcBorders>
          </w:tcPr>
          <w:p>
            <w:pPr>
              <w:pStyle w:val="6"/>
              <w:widowControl w:val="0"/>
              <w:ind w:firstLine="420"/>
              <w:rPr>
                <w:rFonts w:ascii="黑体" w:hAnsi="黑体" w:eastAsia="黑体" w:cs="黑体"/>
                <w:szCs w:val="21"/>
              </w:rPr>
            </w:pPr>
            <w:r>
              <w:rPr>
                <w:rFonts w:hint="eastAsia" w:ascii="黑体" w:hAnsi="黑体" w:eastAsia="黑体" w:cs="黑体"/>
                <w:szCs w:val="21"/>
              </w:rPr>
              <w:t xml:space="preserve">HBLD/CX06-2019 </w:t>
            </w:r>
          </w:p>
        </w:tc>
        <w:tc>
          <w:tcPr>
            <w:tcW w:w="2249" w:type="dxa"/>
            <w:tcBorders>
              <w:tl2br w:val="nil"/>
              <w:tr2bl w:val="nil"/>
            </w:tcBorders>
            <w:vAlign w:val="center"/>
          </w:tcPr>
          <w:p>
            <w:pPr>
              <w:pStyle w:val="2"/>
              <w:pBdr>
                <w:bottom w:val="none" w:color="auto" w:sz="0" w:space="0"/>
              </w:pBdr>
              <w:tabs>
                <w:tab w:val="center" w:pos="4153"/>
                <w:tab w:val="right" w:pos="8306"/>
              </w:tabs>
              <w:rPr>
                <w:rFonts w:hint="default" w:hAnsi="黑体"/>
                <w:sz w:val="21"/>
                <w:szCs w:val="21"/>
              </w:rPr>
            </w:pPr>
            <w:r>
              <w:rPr>
                <w:rFonts w:hAnsi="黑体" w:cs="黑体"/>
                <w:sz w:val="21"/>
                <w:szCs w:val="21"/>
              </w:rPr>
              <w:t>执行日期</w:t>
            </w:r>
          </w:p>
        </w:tc>
        <w:tc>
          <w:tcPr>
            <w:tcW w:w="3134" w:type="dxa"/>
            <w:tcBorders>
              <w:tl2br w:val="nil"/>
              <w:tr2bl w:val="nil"/>
            </w:tcBorders>
            <w:vAlign w:val="center"/>
          </w:tcPr>
          <w:p>
            <w:pPr>
              <w:pStyle w:val="2"/>
              <w:pBdr>
                <w:bottom w:val="none" w:color="auto" w:sz="0" w:space="0"/>
              </w:pBdr>
              <w:tabs>
                <w:tab w:val="center" w:pos="4153"/>
                <w:tab w:val="right" w:pos="8306"/>
              </w:tabs>
              <w:rPr>
                <w:rFonts w:hint="default" w:hAnsi="黑体"/>
                <w:sz w:val="21"/>
                <w:szCs w:val="21"/>
              </w:rPr>
            </w:pPr>
            <w:r>
              <w:rPr>
                <w:rFonts w:hAnsi="黑体" w:cs="黑体"/>
                <w:sz w:val="21"/>
                <w:szCs w:val="21"/>
              </w:rPr>
              <w:t>2019年1月1日</w:t>
            </w:r>
          </w:p>
        </w:tc>
      </w:tr>
    </w:tbl>
    <w:p>
      <w:pPr>
        <w:pStyle w:val="3"/>
        <w:keepNext w:val="0"/>
        <w:keepLines w:val="0"/>
        <w:pageBreakBefore w:val="0"/>
        <w:widowControl/>
        <w:numPr>
          <w:ilvl w:val="2"/>
          <w:numId w:val="2"/>
        </w:numPr>
        <w:kinsoku/>
        <w:wordWrap/>
        <w:overflowPunct/>
        <w:topLinePunct w:val="0"/>
        <w:autoSpaceDE/>
        <w:autoSpaceDN/>
        <w:bidi w:val="0"/>
        <w:adjustRightInd/>
        <w:snapToGrid/>
        <w:spacing w:beforeAutospacing="0" w:afterAutospacing="0"/>
        <w:ind w:left="0" w:firstLine="0"/>
        <w:jc w:val="both"/>
        <w:textAlignment w:val="auto"/>
        <w:outlineLvl w:val="2"/>
        <w:rPr>
          <w:rFonts w:hint="eastAsia" w:cs="宋体"/>
          <w:sz w:val="21"/>
          <w:szCs w:val="21"/>
        </w:rPr>
      </w:pPr>
      <w:r>
        <w:rPr>
          <w:rFonts w:hint="eastAsia" w:cs="宋体"/>
          <w:sz w:val="21"/>
          <w:szCs w:val="21"/>
        </w:rPr>
        <w:t>仪器设备、标准物质的使用</w:t>
      </w:r>
    </w:p>
    <w:p>
      <w:pPr>
        <w:pStyle w:val="3"/>
        <w:numPr>
          <w:ilvl w:val="3"/>
          <w:numId w:val="2"/>
        </w:numPr>
        <w:spacing w:beforeAutospacing="0" w:afterAutospacing="0"/>
        <w:ind w:left="0" w:firstLine="0"/>
        <w:jc w:val="both"/>
        <w:outlineLvl w:val="3"/>
        <w:rPr>
          <w:rFonts w:ascii="Times New Roman" w:hAnsi="Times New Roman"/>
          <w:sz w:val="21"/>
          <w:szCs w:val="21"/>
        </w:rPr>
      </w:pPr>
      <w:r>
        <w:rPr>
          <w:rFonts w:hint="eastAsia" w:cs="宋体"/>
          <w:sz w:val="21"/>
          <w:szCs w:val="21"/>
        </w:rPr>
        <w:t>使用贵重、精密、主要仪器设备的人员须由培训合格经授权人员操作；实习生和换岗人员实习操作须有培训合格人员在场指导监护。</w:t>
      </w:r>
    </w:p>
    <w:p>
      <w:pPr>
        <w:pStyle w:val="3"/>
        <w:numPr>
          <w:ilvl w:val="3"/>
          <w:numId w:val="2"/>
        </w:numPr>
        <w:spacing w:beforeAutospacing="0" w:afterAutospacing="0"/>
        <w:ind w:left="0" w:firstLine="0"/>
        <w:jc w:val="both"/>
        <w:outlineLvl w:val="3"/>
        <w:rPr>
          <w:rFonts w:ascii="Times New Roman" w:hAnsi="Times New Roman"/>
          <w:sz w:val="21"/>
          <w:szCs w:val="21"/>
        </w:rPr>
      </w:pPr>
      <w:r>
        <w:rPr>
          <w:rFonts w:hint="eastAsia" w:cs="宋体"/>
          <w:sz w:val="21"/>
          <w:szCs w:val="21"/>
        </w:rPr>
        <w:t>新仪器设备在投入使用前应由专管人验证其使用功能处于正常。合格后使用。</w:t>
      </w:r>
    </w:p>
    <w:p>
      <w:pPr>
        <w:pStyle w:val="3"/>
        <w:numPr>
          <w:ilvl w:val="3"/>
          <w:numId w:val="2"/>
        </w:numPr>
        <w:spacing w:beforeAutospacing="0" w:afterAutospacing="0"/>
        <w:ind w:left="0" w:firstLine="0"/>
        <w:jc w:val="both"/>
        <w:outlineLvl w:val="3"/>
        <w:rPr>
          <w:rFonts w:ascii="Times New Roman" w:hAnsi="Times New Roman"/>
          <w:sz w:val="21"/>
          <w:szCs w:val="21"/>
        </w:rPr>
      </w:pPr>
      <w:r>
        <w:rPr>
          <w:rFonts w:hint="eastAsia" w:cs="宋体"/>
          <w:sz w:val="21"/>
          <w:szCs w:val="21"/>
        </w:rPr>
        <w:t>仪器设备转移存放地点需要检定、校准、验证的，须检定、校准、验证合格后方可使用。</w:t>
      </w:r>
    </w:p>
    <w:p>
      <w:pPr>
        <w:pStyle w:val="3"/>
        <w:numPr>
          <w:ilvl w:val="3"/>
          <w:numId w:val="2"/>
        </w:numPr>
        <w:spacing w:beforeAutospacing="0" w:afterAutospacing="0"/>
        <w:ind w:left="0" w:firstLine="0"/>
        <w:jc w:val="both"/>
        <w:outlineLvl w:val="3"/>
        <w:rPr>
          <w:rFonts w:ascii="Times New Roman" w:hAnsi="Times New Roman"/>
          <w:sz w:val="21"/>
          <w:szCs w:val="21"/>
        </w:rPr>
      </w:pPr>
      <w:r>
        <w:rPr>
          <w:rFonts w:hint="eastAsia" w:cs="宋体"/>
          <w:sz w:val="21"/>
          <w:szCs w:val="21"/>
        </w:rPr>
        <w:t>仪器设备操作规程要放置于该仪器设备所在检验室的展示盒中</w:t>
      </w:r>
      <w:r>
        <w:rPr>
          <w:rFonts w:ascii="Times New Roman" w:hAnsi="Times New Roman"/>
          <w:sz w:val="21"/>
          <w:szCs w:val="21"/>
        </w:rPr>
        <w:t>,</w:t>
      </w:r>
      <w:r>
        <w:rPr>
          <w:rFonts w:hint="eastAsia" w:cs="宋体"/>
          <w:sz w:val="21"/>
          <w:szCs w:val="21"/>
        </w:rPr>
        <w:t>便于操作人员使用和阅读。</w:t>
      </w:r>
    </w:p>
    <w:p>
      <w:pPr>
        <w:pStyle w:val="3"/>
        <w:numPr>
          <w:ilvl w:val="3"/>
          <w:numId w:val="2"/>
        </w:numPr>
        <w:spacing w:beforeAutospacing="0" w:afterAutospacing="0"/>
        <w:ind w:left="0" w:firstLine="0"/>
        <w:jc w:val="both"/>
        <w:outlineLvl w:val="3"/>
        <w:rPr>
          <w:rFonts w:ascii="Times New Roman" w:hAnsi="Times New Roman"/>
          <w:sz w:val="21"/>
          <w:szCs w:val="21"/>
        </w:rPr>
      </w:pPr>
      <w:r>
        <w:rPr>
          <w:rFonts w:hint="eastAsia" w:cs="宋体"/>
          <w:sz w:val="21"/>
          <w:szCs w:val="21"/>
        </w:rPr>
        <w:t>仪器设备使用和维护说明书中有特别要求的，由检验室编写操作规程，并能够方便地获得。</w:t>
      </w:r>
    </w:p>
    <w:p>
      <w:pPr>
        <w:pStyle w:val="3"/>
        <w:numPr>
          <w:ilvl w:val="3"/>
          <w:numId w:val="2"/>
        </w:numPr>
        <w:spacing w:beforeAutospacing="0" w:afterAutospacing="0"/>
        <w:ind w:left="0" w:firstLine="0"/>
        <w:jc w:val="both"/>
        <w:outlineLvl w:val="3"/>
        <w:rPr>
          <w:rFonts w:ascii="Times New Roman" w:hAnsi="Times New Roman"/>
          <w:sz w:val="21"/>
          <w:szCs w:val="21"/>
        </w:rPr>
      </w:pPr>
      <w:r>
        <w:rPr>
          <w:rFonts w:hint="eastAsia" w:cs="宋体"/>
          <w:sz w:val="21"/>
          <w:szCs w:val="21"/>
        </w:rPr>
        <w:t>使用仪器设备应首先通过其状态标识确认其是否处于可用状态，见《仪器设备使用记录》。需在满足检验要求、环境要求条件下按操作规程操作，及时记录仪器状况。《仪器设备使用记录》应能满足再现性和可追溯要求。内容包括：使用时间（开机时间、关机时间）、样品编号（试剂、标准物质）、开机（关机）状态、操作人等。</w:t>
      </w:r>
    </w:p>
    <w:p>
      <w:pPr>
        <w:pStyle w:val="3"/>
        <w:numPr>
          <w:ilvl w:val="3"/>
          <w:numId w:val="2"/>
        </w:numPr>
        <w:spacing w:beforeAutospacing="0" w:afterAutospacing="0"/>
        <w:ind w:left="0" w:firstLine="0"/>
        <w:jc w:val="both"/>
        <w:outlineLvl w:val="3"/>
        <w:rPr>
          <w:rFonts w:ascii="Times New Roman" w:hAnsi="Times New Roman"/>
          <w:sz w:val="21"/>
          <w:szCs w:val="21"/>
        </w:rPr>
      </w:pPr>
      <w:r>
        <w:rPr>
          <w:rFonts w:hint="eastAsia" w:cs="宋体"/>
          <w:sz w:val="21"/>
          <w:szCs w:val="21"/>
        </w:rPr>
        <w:t>监督员有权监督检查仪器设备、标准物质的正常使用，纠正、制止违章使用和操作。</w:t>
      </w:r>
    </w:p>
    <w:p>
      <w:pPr>
        <w:pStyle w:val="3"/>
        <w:numPr>
          <w:ilvl w:val="3"/>
          <w:numId w:val="2"/>
        </w:numPr>
        <w:spacing w:beforeAutospacing="0" w:afterAutospacing="0"/>
        <w:ind w:left="0" w:firstLine="0"/>
        <w:jc w:val="both"/>
        <w:outlineLvl w:val="3"/>
        <w:rPr>
          <w:rFonts w:ascii="Times New Roman" w:hAnsi="Times New Roman"/>
          <w:sz w:val="21"/>
          <w:szCs w:val="21"/>
        </w:rPr>
      </w:pPr>
      <w:r>
        <w:rPr>
          <w:rFonts w:hint="eastAsia" w:cs="宋体"/>
          <w:sz w:val="21"/>
          <w:szCs w:val="21"/>
        </w:rPr>
        <w:t>检验时应优先使用有证标准物质。</w:t>
      </w:r>
    </w:p>
    <w:p>
      <w:pPr>
        <w:pStyle w:val="3"/>
        <w:numPr>
          <w:ilvl w:val="3"/>
          <w:numId w:val="2"/>
        </w:numPr>
        <w:spacing w:beforeAutospacing="0" w:afterAutospacing="0"/>
        <w:ind w:left="0" w:firstLine="0"/>
        <w:jc w:val="both"/>
        <w:outlineLvl w:val="3"/>
        <w:rPr>
          <w:rFonts w:ascii="Times New Roman" w:hAnsi="Times New Roman"/>
          <w:sz w:val="21"/>
          <w:szCs w:val="21"/>
        </w:rPr>
      </w:pPr>
      <w:r>
        <w:rPr>
          <w:rFonts w:hint="eastAsia" w:cs="宋体"/>
          <w:sz w:val="21"/>
          <w:szCs w:val="21"/>
        </w:rPr>
        <w:t>标准溶液的配置与供应按</w:t>
      </w:r>
      <w:r>
        <w:rPr>
          <w:rFonts w:ascii="Times New Roman" w:hAnsi="Times New Roman"/>
          <w:sz w:val="21"/>
          <w:szCs w:val="21"/>
        </w:rPr>
        <w:t>3.1</w:t>
      </w:r>
      <w:r>
        <w:rPr>
          <w:rFonts w:hint="eastAsia" w:ascii="Times New Roman" w:cs="宋体"/>
          <w:sz w:val="21"/>
          <w:szCs w:val="21"/>
        </w:rPr>
        <w:t>3</w:t>
      </w:r>
      <w:r>
        <w:rPr>
          <w:rFonts w:hint="eastAsia" w:cs="宋体"/>
          <w:sz w:val="21"/>
          <w:szCs w:val="21"/>
        </w:rPr>
        <w:t>执行。</w:t>
      </w:r>
    </w:p>
    <w:p>
      <w:pPr>
        <w:pStyle w:val="3"/>
        <w:numPr>
          <w:ilvl w:val="3"/>
          <w:numId w:val="2"/>
        </w:numPr>
        <w:spacing w:beforeAutospacing="0" w:afterAutospacing="0"/>
        <w:ind w:left="0" w:firstLine="0"/>
        <w:jc w:val="both"/>
        <w:outlineLvl w:val="3"/>
        <w:rPr>
          <w:rFonts w:ascii="Times New Roman" w:hAnsi="Times New Roman"/>
          <w:sz w:val="21"/>
          <w:szCs w:val="21"/>
        </w:rPr>
      </w:pPr>
      <w:r>
        <w:rPr>
          <w:rFonts w:hint="eastAsia" w:cs="宋体"/>
          <w:sz w:val="21"/>
          <w:szCs w:val="21"/>
        </w:rPr>
        <w:t>自动化设备配套用计算机软件的管理、</w:t>
      </w:r>
      <w:r>
        <w:rPr>
          <w:rFonts w:hint="eastAsia" w:cs="宋体"/>
          <w:kern w:val="10"/>
          <w:sz w:val="21"/>
          <w:szCs w:val="21"/>
        </w:rPr>
        <w:t>利用通用计算机开发的业务管理软件的管理、计算机的使用与维护按</w:t>
      </w:r>
      <w:r>
        <w:rPr>
          <w:rFonts w:hint="eastAsia" w:cs="宋体"/>
          <w:sz w:val="21"/>
          <w:szCs w:val="21"/>
        </w:rPr>
        <w:t>《数据保护程序》执行。</w:t>
      </w:r>
    </w:p>
    <w:p>
      <w:pPr>
        <w:pStyle w:val="3"/>
        <w:keepNext w:val="0"/>
        <w:keepLines w:val="0"/>
        <w:pageBreakBefore w:val="0"/>
        <w:widowControl/>
        <w:numPr>
          <w:ilvl w:val="2"/>
          <w:numId w:val="2"/>
        </w:numPr>
        <w:kinsoku/>
        <w:wordWrap/>
        <w:overflowPunct/>
        <w:topLinePunct w:val="0"/>
        <w:autoSpaceDE/>
        <w:autoSpaceDN/>
        <w:bidi w:val="0"/>
        <w:adjustRightInd/>
        <w:snapToGrid/>
        <w:spacing w:beforeAutospacing="0" w:afterAutospacing="0"/>
        <w:ind w:left="0" w:firstLine="0"/>
        <w:jc w:val="both"/>
        <w:textAlignment w:val="auto"/>
        <w:outlineLvl w:val="2"/>
        <w:rPr>
          <w:rFonts w:ascii="Times New Roman" w:hAnsi="Times New Roman"/>
          <w:sz w:val="21"/>
          <w:szCs w:val="21"/>
        </w:rPr>
      </w:pPr>
      <w:r>
        <w:rPr>
          <w:rFonts w:hint="eastAsia" w:cs="宋体"/>
          <w:sz w:val="21"/>
          <w:szCs w:val="21"/>
        </w:rPr>
        <w:t>仪器设备标识</w:t>
      </w:r>
    </w:p>
    <w:p>
      <w:pPr>
        <w:pStyle w:val="3"/>
        <w:numPr>
          <w:ilvl w:val="3"/>
          <w:numId w:val="2"/>
        </w:numPr>
        <w:spacing w:beforeAutospacing="0" w:afterAutospacing="0"/>
        <w:ind w:left="0" w:firstLine="0"/>
        <w:jc w:val="both"/>
        <w:outlineLvl w:val="3"/>
        <w:rPr>
          <w:rFonts w:ascii="Times New Roman" w:hAnsi="Times New Roman"/>
          <w:sz w:val="21"/>
          <w:szCs w:val="21"/>
        </w:rPr>
      </w:pPr>
      <w:r>
        <w:rPr>
          <w:rFonts w:hint="eastAsia" w:cs="宋体"/>
          <w:sz w:val="21"/>
          <w:szCs w:val="21"/>
        </w:rPr>
        <w:t>用于检验的仪器设备、标准物质，必须加以明显的标识来表明其状态。具体按《测量溯源性控制程序》执行。</w:t>
      </w:r>
    </w:p>
    <w:p>
      <w:pPr>
        <w:pStyle w:val="3"/>
        <w:numPr>
          <w:ilvl w:val="3"/>
          <w:numId w:val="2"/>
        </w:numPr>
        <w:spacing w:beforeAutospacing="0" w:afterAutospacing="0"/>
        <w:ind w:left="0" w:firstLine="0"/>
        <w:jc w:val="both"/>
        <w:outlineLvl w:val="3"/>
        <w:rPr>
          <w:rFonts w:ascii="Times New Roman" w:hAnsi="Times New Roman"/>
          <w:sz w:val="21"/>
          <w:szCs w:val="21"/>
        </w:rPr>
      </w:pPr>
      <w:r>
        <w:rPr>
          <w:rFonts w:hint="eastAsia" w:cs="宋体"/>
          <w:sz w:val="21"/>
          <w:szCs w:val="21"/>
        </w:rPr>
        <w:t>本公司制作仪器设备编号卡、仪器设备管理卡贴于仪器设备明显位置；对于小型的仪器设备可将</w:t>
      </w:r>
      <w:r>
        <w:rPr>
          <w:rFonts w:ascii="Times New Roman" w:hAnsi="Times New Roman"/>
          <w:sz w:val="21"/>
          <w:szCs w:val="21"/>
        </w:rPr>
        <w:t>“</w:t>
      </w:r>
      <w:r>
        <w:rPr>
          <w:rFonts w:hint="eastAsia" w:cs="宋体"/>
          <w:sz w:val="21"/>
          <w:szCs w:val="21"/>
        </w:rPr>
        <w:t>仪器设备管理卡</w:t>
      </w:r>
      <w:r>
        <w:rPr>
          <w:rFonts w:hint="eastAsia" w:ascii="黑体" w:eastAsia="黑体" w:cs="黑体"/>
          <w:sz w:val="21"/>
          <w:szCs w:val="21"/>
        </w:rPr>
        <w:t>”</w:t>
      </w:r>
      <w:r>
        <w:rPr>
          <w:rFonts w:hint="eastAsia" w:cs="宋体"/>
          <w:sz w:val="21"/>
          <w:szCs w:val="21"/>
        </w:rPr>
        <w:t>做成小硬纸张，放于胸卡内系在仪器上。仪器设备管理卡应包括仪器名称、型号或规格、启用日期、生产厂家、出厂编号、设备编号、授权使用人和专管人。</w:t>
      </w:r>
    </w:p>
    <w:p>
      <w:pPr>
        <w:pStyle w:val="3"/>
        <w:keepNext w:val="0"/>
        <w:keepLines w:val="0"/>
        <w:pageBreakBefore w:val="0"/>
        <w:widowControl/>
        <w:numPr>
          <w:ilvl w:val="2"/>
          <w:numId w:val="2"/>
        </w:numPr>
        <w:kinsoku/>
        <w:wordWrap/>
        <w:overflowPunct/>
        <w:topLinePunct w:val="0"/>
        <w:autoSpaceDE/>
        <w:autoSpaceDN/>
        <w:bidi w:val="0"/>
        <w:adjustRightInd/>
        <w:snapToGrid/>
        <w:spacing w:beforeAutospacing="0" w:afterAutospacing="0"/>
        <w:ind w:left="0" w:firstLine="0"/>
        <w:jc w:val="both"/>
        <w:textAlignment w:val="auto"/>
        <w:outlineLvl w:val="2"/>
        <w:rPr>
          <w:rFonts w:hint="eastAsia" w:cs="宋体"/>
          <w:sz w:val="21"/>
          <w:szCs w:val="21"/>
        </w:rPr>
      </w:pPr>
      <w:r>
        <w:rPr>
          <w:rFonts w:hint="eastAsia" w:cs="宋体"/>
          <w:sz w:val="21"/>
          <w:szCs w:val="21"/>
        </w:rPr>
        <w:t>仪器设备档案</w:t>
      </w:r>
    </w:p>
    <w:p>
      <w:pPr>
        <w:pStyle w:val="3"/>
        <w:keepNext w:val="0"/>
        <w:keepLines w:val="0"/>
        <w:pageBreakBefore w:val="0"/>
        <w:widowControl/>
        <w:numPr>
          <w:ilvl w:val="2"/>
          <w:numId w:val="2"/>
        </w:numPr>
        <w:kinsoku/>
        <w:wordWrap/>
        <w:overflowPunct/>
        <w:topLinePunct w:val="0"/>
        <w:autoSpaceDE/>
        <w:autoSpaceDN/>
        <w:bidi w:val="0"/>
        <w:adjustRightInd/>
        <w:snapToGrid/>
        <w:spacing w:beforeAutospacing="0" w:afterAutospacing="0"/>
        <w:ind w:left="0" w:firstLine="0"/>
        <w:jc w:val="both"/>
        <w:textAlignment w:val="auto"/>
        <w:outlineLvl w:val="2"/>
        <w:rPr>
          <w:rFonts w:hint="eastAsia" w:cs="宋体"/>
          <w:sz w:val="21"/>
          <w:szCs w:val="21"/>
        </w:rPr>
      </w:pPr>
      <w:r>
        <w:rPr>
          <w:rFonts w:hint="eastAsia" w:cs="宋体"/>
          <w:sz w:val="21"/>
          <w:szCs w:val="21"/>
        </w:rPr>
        <w:t>对检验有重大影响的仪器设备及其软件要一台（件）一档案。同类的多只小型计量器具可建立一个档案，集中存放相关材料。设备管理员对其实行动态管理，每年至少一次对《仪器设备使用记录》、《仪器设备维护保养记录》进行收集、整理、归档，并及时补充相关信息和资料内容。</w:t>
      </w:r>
    </w:p>
    <w:p>
      <w:pPr>
        <w:pStyle w:val="3"/>
        <w:numPr>
          <w:ilvl w:val="3"/>
          <w:numId w:val="2"/>
        </w:numPr>
        <w:spacing w:beforeAutospacing="0" w:afterAutospacing="0"/>
        <w:ind w:left="0" w:firstLine="0"/>
        <w:jc w:val="both"/>
        <w:outlineLvl w:val="3"/>
        <w:rPr>
          <w:rFonts w:ascii="Times New Roman" w:cs="宋体"/>
          <w:sz w:val="21"/>
          <w:szCs w:val="21"/>
        </w:rPr>
      </w:pPr>
      <w:r>
        <w:rPr>
          <w:rFonts w:hint="eastAsia" w:cs="宋体"/>
          <w:sz w:val="21"/>
          <w:szCs w:val="21"/>
        </w:rPr>
        <w:t>对检验有重大影响的仪器设备及其软件档案内容应至少包括：</w:t>
      </w:r>
    </w:p>
    <w:p>
      <w:pPr>
        <w:pStyle w:val="3"/>
        <w:spacing w:beforeAutospacing="0" w:afterAutospacing="0" w:line="240" w:lineRule="atLeast"/>
        <w:ind w:left="840" w:leftChars="200" w:hanging="420" w:hangingChars="200"/>
        <w:jc w:val="both"/>
        <w:rPr>
          <w:rFonts w:cs="宋体"/>
          <w:sz w:val="21"/>
          <w:szCs w:val="21"/>
        </w:rPr>
      </w:pPr>
      <w:r>
        <w:rPr>
          <w:rFonts w:cs="宋体"/>
          <w:sz w:val="21"/>
          <w:szCs w:val="21"/>
        </w:rPr>
        <w:t>a)</w:t>
      </w:r>
      <w:r>
        <w:rPr>
          <w:rFonts w:hint="eastAsia" w:cs="宋体"/>
          <w:sz w:val="21"/>
          <w:szCs w:val="21"/>
        </w:rPr>
        <w:t>仪器设备及其软件名称、规格型号；</w:t>
      </w:r>
    </w:p>
    <w:p>
      <w:pPr>
        <w:pStyle w:val="3"/>
        <w:spacing w:beforeAutospacing="0" w:afterAutospacing="0" w:line="240" w:lineRule="atLeast"/>
        <w:ind w:left="840" w:leftChars="200" w:hanging="420" w:hangingChars="200"/>
        <w:jc w:val="both"/>
        <w:rPr>
          <w:rFonts w:cs="宋体"/>
          <w:sz w:val="21"/>
          <w:szCs w:val="21"/>
        </w:rPr>
      </w:pPr>
      <w:r>
        <w:rPr>
          <w:rFonts w:cs="宋体"/>
          <w:sz w:val="21"/>
          <w:szCs w:val="21"/>
        </w:rPr>
        <w:t>b)</w:t>
      </w:r>
      <w:r>
        <w:rPr>
          <w:rFonts w:hint="eastAsia" w:cs="宋体"/>
          <w:sz w:val="21"/>
          <w:szCs w:val="21"/>
        </w:rPr>
        <w:t>制造商名称、型式标识、系列号及本公司唯一性标识；</w:t>
      </w:r>
    </w:p>
    <w:p>
      <w:pPr>
        <w:pStyle w:val="3"/>
        <w:autoSpaceDE w:val="0"/>
        <w:autoSpaceDN w:val="0"/>
        <w:spacing w:beforeAutospacing="0" w:afterAutospacing="0" w:line="240" w:lineRule="atLeast"/>
        <w:ind w:firstLine="420" w:firstLineChars="200"/>
        <w:jc w:val="both"/>
        <w:rPr>
          <w:rFonts w:cs="宋体"/>
          <w:sz w:val="21"/>
          <w:szCs w:val="21"/>
        </w:rPr>
      </w:pPr>
      <w:r>
        <w:rPr>
          <w:rFonts w:cs="宋体"/>
          <w:sz w:val="21"/>
          <w:szCs w:val="21"/>
        </w:rPr>
        <w:t>c)</w:t>
      </w:r>
      <w:r>
        <w:rPr>
          <w:rFonts w:hint="eastAsia" w:cs="宋体"/>
          <w:sz w:val="21"/>
          <w:szCs w:val="21"/>
        </w:rPr>
        <w:t>仪器设备开箱验收单或目录清单、附件清单、产品合格证、保修单、操作规程原件、自校方法</w:t>
      </w:r>
    </w:p>
    <w:p>
      <w:pPr>
        <w:pStyle w:val="3"/>
        <w:autoSpaceDE w:val="0"/>
        <w:autoSpaceDN w:val="0"/>
        <w:spacing w:beforeAutospacing="0" w:afterAutospacing="0" w:line="240" w:lineRule="atLeast"/>
        <w:ind w:firstLine="420" w:firstLineChars="200"/>
        <w:jc w:val="both"/>
        <w:rPr>
          <w:rFonts w:cs="宋体"/>
          <w:sz w:val="21"/>
          <w:szCs w:val="21"/>
        </w:rPr>
      </w:pPr>
      <w:r>
        <w:rPr>
          <w:rFonts w:hint="eastAsia" w:cs="宋体"/>
          <w:sz w:val="21"/>
          <w:szCs w:val="21"/>
        </w:rPr>
        <w:t>（如适用</w:t>
      </w:r>
      <w:r>
        <w:rPr>
          <w:rFonts w:cs="宋体"/>
          <w:sz w:val="21"/>
          <w:szCs w:val="21"/>
        </w:rPr>
        <w:t>)</w:t>
      </w:r>
      <w:r>
        <w:rPr>
          <w:rFonts w:hint="eastAsia" w:cs="宋体"/>
          <w:sz w:val="21"/>
          <w:szCs w:val="21"/>
        </w:rPr>
        <w:t>、内部校准规程、设备调整等记录；仪器设备购置申请表、验收登记表、仪器设备履</w:t>
      </w:r>
    </w:p>
    <w:p>
      <w:pPr>
        <w:pStyle w:val="3"/>
        <w:spacing w:beforeAutospacing="0" w:afterAutospacing="0" w:line="240" w:lineRule="atLeast"/>
        <w:ind w:firstLine="420" w:firstLineChars="200"/>
        <w:jc w:val="both"/>
        <w:rPr>
          <w:rFonts w:cs="宋体"/>
          <w:sz w:val="21"/>
          <w:szCs w:val="21"/>
        </w:rPr>
      </w:pPr>
      <w:r>
        <w:rPr>
          <w:rFonts w:hint="eastAsia" w:cs="宋体"/>
          <w:sz w:val="21"/>
          <w:szCs w:val="21"/>
        </w:rPr>
        <w:t>历表、维修使用记录、启用申请表、自制仪器设备验收审批表（如适用</w:t>
      </w:r>
      <w:r>
        <w:rPr>
          <w:rFonts w:cs="宋体"/>
          <w:sz w:val="21"/>
          <w:szCs w:val="21"/>
        </w:rPr>
        <w:t>)</w:t>
      </w:r>
      <w:r>
        <w:rPr>
          <w:rFonts w:hint="eastAsia" w:cs="宋体"/>
          <w:sz w:val="21"/>
          <w:szCs w:val="21"/>
        </w:rPr>
        <w:t>及仪器设备期间核查登记表或记录（如适用</w:t>
      </w:r>
      <w:r>
        <w:rPr>
          <w:rFonts w:cs="宋体"/>
          <w:sz w:val="21"/>
          <w:szCs w:val="21"/>
        </w:rPr>
        <w:t>)</w:t>
      </w:r>
      <w:r>
        <w:rPr>
          <w:rFonts w:hint="eastAsia" w:cs="宋体"/>
          <w:sz w:val="21"/>
          <w:szCs w:val="21"/>
        </w:rPr>
        <w:t>。报废</w:t>
      </w:r>
      <w:r>
        <w:rPr>
          <w:rFonts w:cs="宋体"/>
          <w:sz w:val="21"/>
          <w:szCs w:val="21"/>
        </w:rPr>
        <w:t>/</w:t>
      </w:r>
      <w:r>
        <w:rPr>
          <w:rFonts w:hint="eastAsia" w:cs="宋体"/>
          <w:sz w:val="21"/>
          <w:szCs w:val="21"/>
        </w:rPr>
        <w:t>停用</w:t>
      </w:r>
      <w:r>
        <w:rPr>
          <w:rFonts w:cs="宋体"/>
          <w:sz w:val="21"/>
          <w:szCs w:val="21"/>
        </w:rPr>
        <w:t>/</w:t>
      </w:r>
      <w:r>
        <w:rPr>
          <w:rFonts w:hint="eastAsia" w:cs="宋体"/>
          <w:sz w:val="21"/>
          <w:szCs w:val="21"/>
        </w:rPr>
        <w:t>降级记录、最新版本说明书</w:t>
      </w:r>
      <w:r>
        <w:rPr>
          <w:rFonts w:cs="宋体"/>
          <w:sz w:val="21"/>
          <w:szCs w:val="21"/>
        </w:rPr>
        <w:t>/</w:t>
      </w:r>
      <w:r>
        <w:rPr>
          <w:rFonts w:hint="eastAsia" w:cs="宋体"/>
          <w:sz w:val="21"/>
          <w:szCs w:val="21"/>
        </w:rPr>
        <w:t>软件。</w:t>
      </w:r>
    </w:p>
    <w:p>
      <w:pPr>
        <w:pStyle w:val="3"/>
        <w:spacing w:beforeAutospacing="0" w:afterAutospacing="0" w:line="240" w:lineRule="atLeast"/>
        <w:ind w:left="840" w:leftChars="200" w:hanging="420" w:hangingChars="200"/>
        <w:jc w:val="both"/>
        <w:rPr>
          <w:rFonts w:cs="宋体"/>
          <w:sz w:val="21"/>
          <w:szCs w:val="21"/>
        </w:rPr>
      </w:pPr>
      <w:r>
        <w:rPr>
          <w:rFonts w:cs="宋体"/>
          <w:sz w:val="21"/>
          <w:szCs w:val="21"/>
        </w:rPr>
        <w:t>d)</w:t>
      </w:r>
      <w:r>
        <w:rPr>
          <w:rFonts w:hint="eastAsia" w:cs="宋体"/>
          <w:sz w:val="21"/>
          <w:szCs w:val="21"/>
        </w:rPr>
        <w:t>当前的存放地；</w:t>
      </w:r>
    </w:p>
    <w:tbl>
      <w:tblPr>
        <w:tblStyle w:val="4"/>
        <w:tblpPr w:leftFromText="180" w:rightFromText="180" w:vertAnchor="text" w:horzAnchor="page" w:tblpX="1767" w:tblpY="-4"/>
        <w:tblOverlap w:val="never"/>
        <w:tblW w:w="9401" w:type="dxa"/>
        <w:tblInd w:w="0" w:type="dxa"/>
        <w:tblBorders>
          <w:top w:val="threeDEmboss" w:color="auto" w:sz="18" w:space="0"/>
          <w:left w:val="none" w:color="auto" w:sz="0" w:space="0"/>
          <w:bottom w:val="threeDEmboss"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66"/>
        <w:gridCol w:w="2452"/>
        <w:gridCol w:w="2249"/>
        <w:gridCol w:w="3134"/>
      </w:tblGrid>
      <w:tr>
        <w:tblPrEx>
          <w:tblBorders>
            <w:top w:val="threeDEmboss" w:color="auto" w:sz="18" w:space="0"/>
            <w:left w:val="none" w:color="auto" w:sz="0" w:space="0"/>
            <w:bottom w:val="threeDEmboss"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018" w:type="dxa"/>
            <w:gridSpan w:val="2"/>
            <w:vMerge w:val="restart"/>
            <w:tcBorders>
              <w:tl2br w:val="nil"/>
              <w:tr2bl w:val="nil"/>
            </w:tcBorders>
            <w:vAlign w:val="center"/>
          </w:tcPr>
          <w:p>
            <w:pPr>
              <w:pStyle w:val="6"/>
              <w:widowControl w:val="0"/>
              <w:ind w:firstLine="420"/>
              <w:jc w:val="center"/>
              <w:rPr>
                <w:rFonts w:ascii="黑体" w:hAnsi="黑体" w:eastAsia="黑体" w:cs="黑体"/>
                <w:szCs w:val="21"/>
              </w:rPr>
            </w:pPr>
            <w:r>
              <w:rPr>
                <w:rFonts w:hint="eastAsia" w:ascii="黑体" w:hAnsi="黑体" w:eastAsia="黑体" w:cs="黑体"/>
                <w:szCs w:val="21"/>
              </w:rPr>
              <w:t>仪器设备（含软件）和标准物质管理程序</w:t>
            </w:r>
          </w:p>
        </w:tc>
        <w:tc>
          <w:tcPr>
            <w:tcW w:w="2249" w:type="dxa"/>
            <w:tcBorders>
              <w:tl2br w:val="nil"/>
              <w:tr2bl w:val="nil"/>
            </w:tcBorders>
            <w:vAlign w:val="center"/>
          </w:tcPr>
          <w:p>
            <w:pPr>
              <w:pStyle w:val="2"/>
              <w:pBdr>
                <w:bottom w:val="none" w:color="auto" w:sz="0" w:space="0"/>
              </w:pBdr>
              <w:tabs>
                <w:tab w:val="center" w:pos="4153"/>
                <w:tab w:val="right" w:pos="8306"/>
              </w:tabs>
              <w:rPr>
                <w:rFonts w:hint="default" w:hAnsi="黑体"/>
                <w:sz w:val="21"/>
                <w:szCs w:val="21"/>
              </w:rPr>
            </w:pPr>
            <w:r>
              <w:rPr>
                <w:rFonts w:hAnsi="黑体" w:cs="黑体"/>
                <w:sz w:val="21"/>
                <w:szCs w:val="21"/>
              </w:rPr>
              <w:t>页  数</w:t>
            </w:r>
          </w:p>
        </w:tc>
        <w:tc>
          <w:tcPr>
            <w:tcW w:w="3134" w:type="dxa"/>
            <w:tcBorders>
              <w:tl2br w:val="nil"/>
              <w:tr2bl w:val="nil"/>
            </w:tcBorders>
            <w:vAlign w:val="center"/>
          </w:tcPr>
          <w:p>
            <w:pPr>
              <w:pStyle w:val="2"/>
              <w:pBdr>
                <w:bottom w:val="none" w:color="auto" w:sz="0" w:space="0"/>
              </w:pBdr>
              <w:tabs>
                <w:tab w:val="center" w:pos="4153"/>
                <w:tab w:val="right" w:pos="8306"/>
              </w:tabs>
              <w:rPr>
                <w:rFonts w:hint="default" w:hAnsi="黑体"/>
                <w:sz w:val="21"/>
                <w:szCs w:val="21"/>
              </w:rPr>
            </w:pPr>
            <w:r>
              <w:rPr>
                <w:rFonts w:hAnsi="黑体" w:cs="黑体"/>
                <w:sz w:val="21"/>
                <w:szCs w:val="21"/>
              </w:rPr>
              <w:t>第5 页  共</w:t>
            </w:r>
            <w:r>
              <w:rPr>
                <w:rFonts w:hint="eastAsia" w:hAnsi="黑体" w:cs="黑体"/>
                <w:sz w:val="21"/>
                <w:szCs w:val="21"/>
                <w:lang w:val="en-US" w:eastAsia="zh-CN"/>
              </w:rPr>
              <w:t>8</w:t>
            </w:r>
            <w:r>
              <w:rPr>
                <w:rFonts w:hAnsi="黑体" w:cs="黑体"/>
                <w:sz w:val="21"/>
                <w:szCs w:val="21"/>
              </w:rPr>
              <w:t xml:space="preserve"> 页</w:t>
            </w:r>
          </w:p>
        </w:tc>
      </w:tr>
      <w:tr>
        <w:tblPrEx>
          <w:tblBorders>
            <w:top w:val="threeDEmboss" w:color="auto" w:sz="18" w:space="0"/>
            <w:left w:val="none" w:color="auto" w:sz="0" w:space="0"/>
            <w:bottom w:val="threeDEmboss"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018" w:type="dxa"/>
            <w:gridSpan w:val="2"/>
            <w:vMerge w:val="continue"/>
            <w:tcBorders>
              <w:tl2br w:val="nil"/>
              <w:tr2bl w:val="nil"/>
            </w:tcBorders>
          </w:tcPr>
          <w:p>
            <w:pPr>
              <w:pStyle w:val="6"/>
              <w:widowControl w:val="0"/>
              <w:ind w:firstLine="420"/>
              <w:rPr>
                <w:rFonts w:ascii="黑体" w:hAnsi="黑体" w:eastAsia="黑体" w:cs="黑体"/>
                <w:szCs w:val="21"/>
              </w:rPr>
            </w:pPr>
          </w:p>
        </w:tc>
        <w:tc>
          <w:tcPr>
            <w:tcW w:w="2249" w:type="dxa"/>
            <w:tcBorders>
              <w:tl2br w:val="nil"/>
              <w:tr2bl w:val="nil"/>
            </w:tcBorders>
            <w:vAlign w:val="center"/>
          </w:tcPr>
          <w:p>
            <w:pPr>
              <w:pStyle w:val="2"/>
              <w:pBdr>
                <w:bottom w:val="none" w:color="auto" w:sz="0" w:space="0"/>
              </w:pBdr>
              <w:tabs>
                <w:tab w:val="center" w:pos="4153"/>
                <w:tab w:val="right" w:pos="8306"/>
              </w:tabs>
              <w:rPr>
                <w:rFonts w:hint="default" w:hAnsi="黑体"/>
                <w:sz w:val="21"/>
                <w:szCs w:val="21"/>
              </w:rPr>
            </w:pPr>
            <w:r>
              <w:rPr>
                <w:rFonts w:hAnsi="黑体" w:cs="黑体"/>
                <w:sz w:val="21"/>
                <w:szCs w:val="21"/>
              </w:rPr>
              <w:t>修改号</w:t>
            </w:r>
          </w:p>
        </w:tc>
        <w:tc>
          <w:tcPr>
            <w:tcW w:w="3134" w:type="dxa"/>
            <w:tcBorders>
              <w:tl2br w:val="nil"/>
              <w:tr2bl w:val="nil"/>
            </w:tcBorders>
            <w:vAlign w:val="center"/>
          </w:tcPr>
          <w:p>
            <w:pPr>
              <w:pStyle w:val="2"/>
              <w:pBdr>
                <w:bottom w:val="none" w:color="auto" w:sz="0" w:space="0"/>
              </w:pBdr>
              <w:tabs>
                <w:tab w:val="center" w:pos="4153"/>
                <w:tab w:val="right" w:pos="8306"/>
              </w:tabs>
              <w:rPr>
                <w:rFonts w:hint="default" w:hAnsi="黑体"/>
                <w:sz w:val="21"/>
                <w:szCs w:val="21"/>
              </w:rPr>
            </w:pPr>
            <w:r>
              <w:rPr>
                <w:rFonts w:hAnsi="黑体" w:cs="黑体"/>
                <w:sz w:val="21"/>
                <w:szCs w:val="21"/>
              </w:rPr>
              <w:t>第2019版 第0次修订</w:t>
            </w:r>
          </w:p>
        </w:tc>
      </w:tr>
      <w:tr>
        <w:tblPrEx>
          <w:tblBorders>
            <w:top w:val="threeDEmboss" w:color="auto" w:sz="18" w:space="0"/>
            <w:left w:val="none" w:color="auto" w:sz="0" w:space="0"/>
            <w:bottom w:val="threeDEmboss"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66" w:type="dxa"/>
            <w:tcBorders>
              <w:tl2br w:val="nil"/>
              <w:tr2bl w:val="nil"/>
            </w:tcBorders>
          </w:tcPr>
          <w:p>
            <w:pPr>
              <w:pStyle w:val="6"/>
              <w:widowControl w:val="0"/>
              <w:ind w:firstLine="420"/>
              <w:rPr>
                <w:rFonts w:ascii="黑体" w:hAnsi="黑体" w:eastAsia="黑体" w:cs="黑体"/>
                <w:szCs w:val="21"/>
              </w:rPr>
            </w:pPr>
            <w:r>
              <w:rPr>
                <w:rFonts w:hint="eastAsia" w:ascii="黑体" w:hAnsi="黑体" w:eastAsia="黑体" w:cs="黑体"/>
                <w:szCs w:val="21"/>
              </w:rPr>
              <w:t>文件编号</w:t>
            </w:r>
          </w:p>
        </w:tc>
        <w:tc>
          <w:tcPr>
            <w:tcW w:w="2452" w:type="dxa"/>
            <w:tcBorders>
              <w:tl2br w:val="nil"/>
              <w:tr2bl w:val="nil"/>
            </w:tcBorders>
          </w:tcPr>
          <w:p>
            <w:pPr>
              <w:pStyle w:val="6"/>
              <w:widowControl w:val="0"/>
              <w:ind w:firstLine="420"/>
              <w:rPr>
                <w:rFonts w:ascii="黑体" w:hAnsi="黑体" w:eastAsia="黑体" w:cs="黑体"/>
                <w:szCs w:val="21"/>
              </w:rPr>
            </w:pPr>
            <w:r>
              <w:rPr>
                <w:rFonts w:hint="eastAsia" w:ascii="黑体" w:hAnsi="黑体" w:eastAsia="黑体" w:cs="黑体"/>
                <w:szCs w:val="21"/>
              </w:rPr>
              <w:t xml:space="preserve">HBLD/CX06-2019 </w:t>
            </w:r>
          </w:p>
        </w:tc>
        <w:tc>
          <w:tcPr>
            <w:tcW w:w="2249" w:type="dxa"/>
            <w:tcBorders>
              <w:tl2br w:val="nil"/>
              <w:tr2bl w:val="nil"/>
            </w:tcBorders>
            <w:vAlign w:val="center"/>
          </w:tcPr>
          <w:p>
            <w:pPr>
              <w:pStyle w:val="2"/>
              <w:pBdr>
                <w:bottom w:val="none" w:color="auto" w:sz="0" w:space="0"/>
              </w:pBdr>
              <w:tabs>
                <w:tab w:val="center" w:pos="4153"/>
                <w:tab w:val="right" w:pos="8306"/>
              </w:tabs>
              <w:rPr>
                <w:rFonts w:hint="default" w:hAnsi="黑体"/>
                <w:sz w:val="21"/>
                <w:szCs w:val="21"/>
              </w:rPr>
            </w:pPr>
            <w:r>
              <w:rPr>
                <w:rFonts w:hAnsi="黑体" w:cs="黑体"/>
                <w:sz w:val="21"/>
                <w:szCs w:val="21"/>
              </w:rPr>
              <w:t>执行日期</w:t>
            </w:r>
          </w:p>
        </w:tc>
        <w:tc>
          <w:tcPr>
            <w:tcW w:w="3134" w:type="dxa"/>
            <w:tcBorders>
              <w:tl2br w:val="nil"/>
              <w:tr2bl w:val="nil"/>
            </w:tcBorders>
            <w:vAlign w:val="center"/>
          </w:tcPr>
          <w:p>
            <w:pPr>
              <w:pStyle w:val="2"/>
              <w:pBdr>
                <w:bottom w:val="none" w:color="auto" w:sz="0" w:space="0"/>
              </w:pBdr>
              <w:tabs>
                <w:tab w:val="center" w:pos="4153"/>
                <w:tab w:val="right" w:pos="8306"/>
              </w:tabs>
              <w:rPr>
                <w:rFonts w:hint="default" w:hAnsi="黑体"/>
                <w:sz w:val="21"/>
                <w:szCs w:val="21"/>
              </w:rPr>
            </w:pPr>
            <w:r>
              <w:rPr>
                <w:rFonts w:hAnsi="黑体" w:cs="黑体"/>
                <w:sz w:val="21"/>
                <w:szCs w:val="21"/>
              </w:rPr>
              <w:t>2019年1月1日</w:t>
            </w:r>
          </w:p>
        </w:tc>
      </w:tr>
    </w:tbl>
    <w:p>
      <w:pPr>
        <w:pStyle w:val="3"/>
        <w:spacing w:beforeAutospacing="0" w:afterAutospacing="0" w:line="240" w:lineRule="atLeast"/>
        <w:ind w:left="840" w:leftChars="200" w:hanging="420" w:hangingChars="200"/>
        <w:jc w:val="both"/>
        <w:rPr>
          <w:rFonts w:cs="宋体"/>
          <w:sz w:val="21"/>
          <w:szCs w:val="21"/>
        </w:rPr>
      </w:pPr>
      <w:r>
        <w:rPr>
          <w:rFonts w:cs="宋体"/>
          <w:sz w:val="21"/>
          <w:szCs w:val="21"/>
        </w:rPr>
        <w:t>e)</w:t>
      </w:r>
      <w:r>
        <w:rPr>
          <w:rFonts w:hint="eastAsia" w:cs="宋体"/>
          <w:sz w:val="21"/>
          <w:szCs w:val="21"/>
        </w:rPr>
        <w:t>制造商的说明书</w:t>
      </w:r>
      <w:r>
        <w:rPr>
          <w:rFonts w:cs="宋体"/>
          <w:sz w:val="21"/>
          <w:szCs w:val="21"/>
        </w:rPr>
        <w:t>(</w:t>
      </w:r>
      <w:r>
        <w:rPr>
          <w:rFonts w:hint="eastAsia" w:cs="宋体"/>
          <w:sz w:val="21"/>
          <w:szCs w:val="21"/>
        </w:rPr>
        <w:t>外文说明书操作部分应有中文翻译</w:t>
      </w:r>
      <w:r>
        <w:rPr>
          <w:rFonts w:cs="宋体"/>
          <w:sz w:val="21"/>
          <w:szCs w:val="21"/>
        </w:rPr>
        <w:t>)</w:t>
      </w:r>
      <w:r>
        <w:rPr>
          <w:rFonts w:hint="eastAsia" w:cs="宋体"/>
          <w:sz w:val="21"/>
          <w:szCs w:val="21"/>
        </w:rPr>
        <w:t>；</w:t>
      </w:r>
    </w:p>
    <w:p>
      <w:pPr>
        <w:pStyle w:val="3"/>
        <w:spacing w:beforeAutospacing="0" w:afterAutospacing="0" w:line="240" w:lineRule="atLeast"/>
        <w:ind w:left="840" w:leftChars="200" w:hanging="420" w:hangingChars="200"/>
        <w:jc w:val="both"/>
        <w:rPr>
          <w:rFonts w:cs="宋体"/>
          <w:sz w:val="21"/>
          <w:szCs w:val="21"/>
        </w:rPr>
      </w:pPr>
      <w:r>
        <w:rPr>
          <w:rFonts w:cs="宋体"/>
          <w:sz w:val="21"/>
          <w:szCs w:val="21"/>
        </w:rPr>
        <w:t>f)</w:t>
      </w:r>
      <w:r>
        <w:rPr>
          <w:rFonts w:hint="eastAsia" w:cs="宋体"/>
          <w:sz w:val="21"/>
          <w:szCs w:val="21"/>
        </w:rPr>
        <w:t>所有计量检定</w:t>
      </w:r>
      <w:r>
        <w:rPr>
          <w:rFonts w:cs="宋体"/>
          <w:sz w:val="21"/>
          <w:szCs w:val="21"/>
        </w:rPr>
        <w:t>/</w:t>
      </w:r>
      <w:r>
        <w:rPr>
          <w:rFonts w:hint="eastAsia" w:cs="宋体"/>
          <w:sz w:val="21"/>
          <w:szCs w:val="21"/>
        </w:rPr>
        <w:t>校准证书、内部校准报告和证书的日期，计量器具检定</w:t>
      </w:r>
      <w:r>
        <w:rPr>
          <w:rFonts w:cs="宋体"/>
          <w:sz w:val="21"/>
          <w:szCs w:val="21"/>
        </w:rPr>
        <w:t>/</w:t>
      </w:r>
      <w:r>
        <w:rPr>
          <w:rFonts w:hint="eastAsia" w:cs="宋体"/>
          <w:sz w:val="21"/>
          <w:szCs w:val="21"/>
        </w:rPr>
        <w:t>校准</w:t>
      </w:r>
      <w:r>
        <w:rPr>
          <w:rFonts w:cs="宋体"/>
          <w:sz w:val="21"/>
          <w:szCs w:val="21"/>
        </w:rPr>
        <w:t>/</w:t>
      </w:r>
      <w:r>
        <w:rPr>
          <w:rFonts w:hint="eastAsia" w:cs="宋体"/>
          <w:sz w:val="21"/>
          <w:szCs w:val="21"/>
        </w:rPr>
        <w:t>测试结果分析确认审批</w:t>
      </w:r>
    </w:p>
    <w:p>
      <w:pPr>
        <w:pStyle w:val="3"/>
        <w:spacing w:beforeAutospacing="0" w:afterAutospacing="0" w:line="240" w:lineRule="atLeast"/>
        <w:jc w:val="both"/>
        <w:rPr>
          <w:rFonts w:cs="宋体"/>
          <w:sz w:val="21"/>
          <w:szCs w:val="21"/>
        </w:rPr>
      </w:pPr>
      <w:r>
        <w:rPr>
          <w:rFonts w:hint="eastAsia" w:cs="宋体"/>
          <w:sz w:val="21"/>
          <w:szCs w:val="21"/>
        </w:rPr>
        <w:t>表。设备调整、验收准则和下次校准的预定日期；</w:t>
      </w:r>
    </w:p>
    <w:p>
      <w:pPr>
        <w:pStyle w:val="3"/>
        <w:spacing w:beforeAutospacing="0" w:afterAutospacing="0" w:line="240" w:lineRule="atLeast"/>
        <w:ind w:left="840" w:leftChars="200" w:hanging="420" w:hangingChars="200"/>
        <w:jc w:val="both"/>
        <w:rPr>
          <w:rFonts w:cs="宋体"/>
          <w:sz w:val="21"/>
          <w:szCs w:val="21"/>
        </w:rPr>
      </w:pPr>
      <w:r>
        <w:rPr>
          <w:rFonts w:hint="eastAsia" w:cs="宋体"/>
          <w:sz w:val="21"/>
          <w:szCs w:val="21"/>
        </w:rPr>
        <w:t>g)设备维护计划，以及已进行的维护（适当时)；</w:t>
      </w:r>
    </w:p>
    <w:p>
      <w:pPr>
        <w:pStyle w:val="3"/>
        <w:spacing w:beforeAutospacing="0" w:afterAutospacing="0" w:line="240" w:lineRule="atLeast"/>
        <w:ind w:left="840" w:leftChars="200" w:hanging="420" w:hangingChars="200"/>
        <w:jc w:val="both"/>
        <w:rPr>
          <w:rFonts w:cs="宋体"/>
          <w:sz w:val="21"/>
          <w:szCs w:val="21"/>
        </w:rPr>
      </w:pPr>
      <w:r>
        <w:rPr>
          <w:rFonts w:hint="eastAsia" w:cs="宋体"/>
          <w:sz w:val="21"/>
          <w:szCs w:val="21"/>
        </w:rPr>
        <w:t xml:space="preserve">h)设备的任何损坏、故障、改装或修理记录。 </w:t>
      </w:r>
    </w:p>
    <w:p>
      <w:pPr>
        <w:pStyle w:val="3"/>
        <w:spacing w:beforeAutospacing="0" w:afterAutospacing="0" w:line="240" w:lineRule="atLeast"/>
        <w:ind w:left="840" w:leftChars="200" w:hanging="420" w:hangingChars="200"/>
        <w:jc w:val="both"/>
        <w:rPr>
          <w:rFonts w:cs="宋体"/>
          <w:sz w:val="21"/>
          <w:szCs w:val="21"/>
        </w:rPr>
      </w:pPr>
      <w:r>
        <w:rPr>
          <w:rFonts w:hint="eastAsia" w:cs="宋体"/>
          <w:sz w:val="21"/>
          <w:szCs w:val="21"/>
        </w:rPr>
        <w:t>其中新购仪器设备验收登记表要一式两份，另一份还要存入合格供应商档案。</w:t>
      </w:r>
    </w:p>
    <w:p>
      <w:pPr>
        <w:pStyle w:val="3"/>
        <w:numPr>
          <w:ilvl w:val="3"/>
          <w:numId w:val="2"/>
        </w:numPr>
        <w:spacing w:beforeAutospacing="0" w:afterAutospacing="0"/>
        <w:ind w:left="0" w:firstLine="0"/>
        <w:jc w:val="both"/>
        <w:outlineLvl w:val="3"/>
        <w:rPr>
          <w:rFonts w:ascii="Times New Roman" w:hAnsi="Times New Roman"/>
          <w:sz w:val="21"/>
          <w:szCs w:val="21"/>
        </w:rPr>
      </w:pPr>
      <w:r>
        <w:rPr>
          <w:rFonts w:hint="eastAsia" w:cs="宋体"/>
          <w:sz w:val="21"/>
          <w:szCs w:val="21"/>
        </w:rPr>
        <w:t>操作简单的、检验精度无变化或对检验结果无影响的一般仪器档案内容至少包括：使用说明书、零件清单、出厂合格证、历次检定证书等。</w:t>
      </w:r>
    </w:p>
    <w:p>
      <w:pPr>
        <w:pStyle w:val="3"/>
        <w:numPr>
          <w:ilvl w:val="3"/>
          <w:numId w:val="2"/>
        </w:numPr>
        <w:spacing w:beforeAutospacing="0" w:afterAutospacing="0"/>
        <w:ind w:left="0" w:firstLine="0"/>
        <w:jc w:val="both"/>
        <w:outlineLvl w:val="3"/>
        <w:rPr>
          <w:rFonts w:ascii="Times New Roman" w:hAnsi="Times New Roman"/>
          <w:sz w:val="21"/>
          <w:szCs w:val="21"/>
        </w:rPr>
      </w:pPr>
      <w:r>
        <w:rPr>
          <w:rFonts w:hint="eastAsia" w:cs="宋体"/>
          <w:sz w:val="21"/>
          <w:szCs w:val="21"/>
        </w:rPr>
        <w:t>在用仪器设备档案由综合办公室管理，设备管理员要每年至少一次补充当年使用、维修、检定</w:t>
      </w:r>
      <w:r>
        <w:rPr>
          <w:rFonts w:ascii="Times New Roman" w:hAnsi="Times New Roman"/>
          <w:sz w:val="21"/>
          <w:szCs w:val="21"/>
        </w:rPr>
        <w:t>/</w:t>
      </w:r>
      <w:r>
        <w:rPr>
          <w:rFonts w:hint="eastAsia" w:cs="宋体"/>
          <w:sz w:val="21"/>
          <w:szCs w:val="21"/>
        </w:rPr>
        <w:t>校准、核查情况。仪器设备报废后，达到《档案管理工作程序》规定的保存期限后销毁。</w:t>
      </w:r>
    </w:p>
    <w:p>
      <w:pPr>
        <w:pStyle w:val="3"/>
        <w:keepNext w:val="0"/>
        <w:keepLines w:val="0"/>
        <w:pageBreakBefore w:val="0"/>
        <w:widowControl/>
        <w:numPr>
          <w:ilvl w:val="2"/>
          <w:numId w:val="2"/>
        </w:numPr>
        <w:kinsoku/>
        <w:wordWrap/>
        <w:overflowPunct/>
        <w:topLinePunct w:val="0"/>
        <w:autoSpaceDE/>
        <w:autoSpaceDN/>
        <w:bidi w:val="0"/>
        <w:adjustRightInd/>
        <w:snapToGrid/>
        <w:spacing w:beforeAutospacing="0" w:afterAutospacing="0"/>
        <w:ind w:left="0" w:firstLine="0"/>
        <w:jc w:val="both"/>
        <w:textAlignment w:val="auto"/>
        <w:outlineLvl w:val="2"/>
        <w:rPr>
          <w:rFonts w:ascii="Times New Roman" w:hAnsi="Times New Roman"/>
          <w:sz w:val="21"/>
          <w:szCs w:val="21"/>
        </w:rPr>
      </w:pPr>
      <w:r>
        <w:rPr>
          <w:rFonts w:hint="eastAsia" w:cs="宋体"/>
          <w:sz w:val="21"/>
          <w:szCs w:val="21"/>
        </w:rPr>
        <w:t>仪器设备管理</w:t>
      </w:r>
    </w:p>
    <w:p>
      <w:pPr>
        <w:pStyle w:val="3"/>
        <w:numPr>
          <w:ilvl w:val="3"/>
          <w:numId w:val="2"/>
        </w:numPr>
        <w:spacing w:beforeAutospacing="0" w:afterAutospacing="0"/>
        <w:ind w:left="0" w:firstLine="0"/>
        <w:jc w:val="both"/>
        <w:outlineLvl w:val="3"/>
        <w:rPr>
          <w:rFonts w:ascii="Times New Roman" w:hAnsi="Times New Roman"/>
          <w:sz w:val="21"/>
          <w:szCs w:val="21"/>
        </w:rPr>
      </w:pPr>
      <w:r>
        <w:rPr>
          <w:rFonts w:hint="eastAsia" w:cs="宋体"/>
          <w:sz w:val="21"/>
          <w:szCs w:val="21"/>
        </w:rPr>
        <w:t>仪器设备按主要</w:t>
      </w:r>
      <w:r>
        <w:rPr>
          <w:rFonts w:ascii="Times New Roman" w:hAnsi="Times New Roman"/>
          <w:sz w:val="21"/>
          <w:szCs w:val="21"/>
        </w:rPr>
        <w:t>(</w:t>
      </w:r>
      <w:r>
        <w:rPr>
          <w:rFonts w:hint="eastAsia" w:cs="宋体"/>
          <w:sz w:val="21"/>
          <w:szCs w:val="21"/>
        </w:rPr>
        <w:t>贵重、精密</w:t>
      </w:r>
      <w:r>
        <w:rPr>
          <w:rFonts w:ascii="Times New Roman" w:hAnsi="Times New Roman"/>
          <w:sz w:val="21"/>
          <w:szCs w:val="21"/>
        </w:rPr>
        <w:t>)</w:t>
      </w:r>
      <w:r>
        <w:rPr>
          <w:rFonts w:hint="eastAsia" w:cs="宋体"/>
          <w:sz w:val="21"/>
          <w:szCs w:val="21"/>
        </w:rPr>
        <w:t>、一般分类，由设备管理员统一编号、建立台账，负责检查仪器设备状况。每年管理评审时进行报告。《仪器设备台账》内容包括：名称、唯一性标识（设备编号）、型号规格、出厂编号、制造商名称、技术指标、购置时间、单价、检定（校准）周期、用途、专管人、授权使用人。以下设备列入仪器设备台账进行管理。</w:t>
      </w:r>
    </w:p>
    <w:p>
      <w:pPr>
        <w:pStyle w:val="3"/>
        <w:autoSpaceDE w:val="0"/>
        <w:autoSpaceDN w:val="0"/>
        <w:spacing w:beforeAutospacing="0" w:afterAutospacing="0"/>
        <w:ind w:firstLine="420" w:firstLineChars="200"/>
        <w:jc w:val="both"/>
        <w:rPr>
          <w:rFonts w:ascii="Times New Roman" w:hAnsi="Times New Roman"/>
          <w:sz w:val="21"/>
          <w:szCs w:val="21"/>
        </w:rPr>
      </w:pPr>
      <w:r>
        <w:rPr>
          <w:rFonts w:ascii="Times New Roman" w:hAnsi="Times New Roman"/>
          <w:sz w:val="21"/>
          <w:szCs w:val="21"/>
        </w:rPr>
        <w:t>a)</w:t>
      </w:r>
      <w:r>
        <w:rPr>
          <w:rFonts w:hint="eastAsia" w:cs="宋体"/>
          <w:sz w:val="21"/>
          <w:szCs w:val="21"/>
        </w:rPr>
        <w:t>所有直接用于测量的仪器设备、计量器具，无论其价值多少；</w:t>
      </w:r>
    </w:p>
    <w:p>
      <w:pPr>
        <w:pStyle w:val="3"/>
        <w:autoSpaceDE w:val="0"/>
        <w:autoSpaceDN w:val="0"/>
        <w:spacing w:beforeAutospacing="0" w:afterAutospacing="0"/>
        <w:ind w:firstLine="420" w:firstLineChars="200"/>
        <w:jc w:val="both"/>
        <w:rPr>
          <w:rFonts w:ascii="Times New Roman" w:hAnsi="Times New Roman"/>
          <w:sz w:val="21"/>
          <w:szCs w:val="21"/>
        </w:rPr>
      </w:pPr>
      <w:r>
        <w:rPr>
          <w:rFonts w:ascii="Times New Roman" w:hAnsi="Times New Roman"/>
          <w:sz w:val="21"/>
          <w:szCs w:val="21"/>
        </w:rPr>
        <w:t>b)</w:t>
      </w:r>
      <w:r>
        <w:rPr>
          <w:rFonts w:hint="eastAsia" w:cs="宋体"/>
          <w:sz w:val="21"/>
          <w:szCs w:val="21"/>
        </w:rPr>
        <w:t>虽然不是直接用于测量，但需要经过一定的培训才能正确操作或价格较高的辅助设备；</w:t>
      </w:r>
    </w:p>
    <w:p>
      <w:pPr>
        <w:pStyle w:val="3"/>
        <w:autoSpaceDE w:val="0"/>
        <w:autoSpaceDN w:val="0"/>
        <w:spacing w:beforeAutospacing="0" w:afterAutospacing="0"/>
        <w:ind w:firstLine="420" w:firstLineChars="200"/>
        <w:jc w:val="both"/>
        <w:rPr>
          <w:rFonts w:ascii="Times New Roman" w:hAnsi="Times New Roman"/>
          <w:sz w:val="21"/>
          <w:szCs w:val="21"/>
        </w:rPr>
      </w:pPr>
      <w:r>
        <w:rPr>
          <w:rFonts w:ascii="Times New Roman" w:hAnsi="Times New Roman"/>
          <w:sz w:val="21"/>
          <w:szCs w:val="21"/>
        </w:rPr>
        <w:t>c)</w:t>
      </w:r>
      <w:r>
        <w:rPr>
          <w:rFonts w:hint="eastAsia" w:cs="宋体"/>
          <w:sz w:val="21"/>
          <w:szCs w:val="21"/>
        </w:rPr>
        <w:t>检测专用自动化控制软件、自行开发的管理软件等；</w:t>
      </w:r>
    </w:p>
    <w:p>
      <w:pPr>
        <w:pStyle w:val="3"/>
        <w:autoSpaceDE w:val="0"/>
        <w:autoSpaceDN w:val="0"/>
        <w:spacing w:beforeAutospacing="0" w:afterAutospacing="0"/>
        <w:ind w:firstLine="420" w:firstLineChars="200"/>
        <w:jc w:val="both"/>
        <w:rPr>
          <w:rFonts w:ascii="Times New Roman" w:hAnsi="Times New Roman"/>
          <w:sz w:val="21"/>
          <w:szCs w:val="21"/>
        </w:rPr>
      </w:pPr>
      <w:r>
        <w:rPr>
          <w:rFonts w:ascii="Times New Roman" w:hAnsi="Times New Roman"/>
          <w:sz w:val="21"/>
          <w:szCs w:val="21"/>
        </w:rPr>
        <w:t>d)</w:t>
      </w:r>
      <w:r>
        <w:rPr>
          <w:rFonts w:hint="eastAsia" w:cs="宋体"/>
          <w:sz w:val="21"/>
          <w:szCs w:val="21"/>
        </w:rPr>
        <w:t>空调、计算机、打印机等必要设备。</w:t>
      </w:r>
    </w:p>
    <w:p>
      <w:pPr>
        <w:pStyle w:val="3"/>
        <w:numPr>
          <w:ilvl w:val="3"/>
          <w:numId w:val="2"/>
        </w:numPr>
        <w:spacing w:beforeAutospacing="0" w:afterAutospacing="0"/>
        <w:ind w:left="0" w:firstLine="0"/>
        <w:jc w:val="both"/>
        <w:outlineLvl w:val="3"/>
        <w:rPr>
          <w:rFonts w:ascii="Times New Roman" w:hAnsi="Times New Roman"/>
          <w:sz w:val="21"/>
          <w:szCs w:val="21"/>
        </w:rPr>
      </w:pPr>
      <w:r>
        <w:rPr>
          <w:rFonts w:hint="eastAsia" w:cs="宋体"/>
          <w:sz w:val="21"/>
          <w:szCs w:val="21"/>
        </w:rPr>
        <w:t>检验室、综合办公室应制定本室仪器设备的作业指导书，并对本部门管理的设备进行检查、维护保养工作，使设备保持良好状态。主要仪器设备或项目参数均应有作业指导书。编制时，可以根据操作人员、岗位、项目、仪器设备专管使用情况，依设备或依项目参数或依检测功能室合并编写。对于检验周期长、备样</w:t>
      </w:r>
      <w:r>
        <w:rPr>
          <w:rFonts w:ascii="Times New Roman" w:hAnsi="Times New Roman"/>
          <w:sz w:val="21"/>
          <w:szCs w:val="21"/>
        </w:rPr>
        <w:t>(</w:t>
      </w:r>
      <w:r>
        <w:rPr>
          <w:rFonts w:hint="eastAsia" w:cs="宋体"/>
          <w:sz w:val="21"/>
          <w:szCs w:val="21"/>
        </w:rPr>
        <w:t>复样）复现性差的检验项目最好依据项目参数编制。见《文件控制程序》、《检验方法和方法确认控制程序》、《测量溯源性控制程序》、《设施和环境控制程序》。</w:t>
      </w:r>
    </w:p>
    <w:p>
      <w:pPr>
        <w:pStyle w:val="3"/>
        <w:numPr>
          <w:ilvl w:val="3"/>
          <w:numId w:val="2"/>
        </w:numPr>
        <w:spacing w:beforeAutospacing="0" w:afterAutospacing="0"/>
        <w:ind w:left="0" w:firstLine="0"/>
        <w:jc w:val="both"/>
        <w:outlineLvl w:val="3"/>
        <w:rPr>
          <w:rFonts w:cs="宋体"/>
          <w:sz w:val="21"/>
          <w:szCs w:val="21"/>
        </w:rPr>
      </w:pPr>
      <w:r>
        <w:rPr>
          <w:rFonts w:hint="eastAsia" w:cs="宋体"/>
          <w:sz w:val="21"/>
          <w:szCs w:val="21"/>
        </w:rPr>
        <w:t>仪器设备使用时要认真填写《仪器设备使用记录》。</w:t>
      </w:r>
    </w:p>
    <w:p>
      <w:pPr>
        <w:pStyle w:val="3"/>
        <w:numPr>
          <w:ilvl w:val="3"/>
          <w:numId w:val="2"/>
        </w:numPr>
        <w:spacing w:beforeAutospacing="0" w:afterAutospacing="0"/>
        <w:ind w:left="0" w:firstLine="0"/>
        <w:jc w:val="both"/>
        <w:outlineLvl w:val="3"/>
        <w:rPr>
          <w:rFonts w:ascii="Times New Roman" w:hAnsi="Times New Roman" w:eastAsia="黑体"/>
          <w:b/>
          <w:sz w:val="21"/>
          <w:szCs w:val="21"/>
        </w:rPr>
      </w:pPr>
      <w:r>
        <w:rPr>
          <w:rFonts w:hint="eastAsia" w:cs="宋体"/>
          <w:sz w:val="21"/>
          <w:szCs w:val="21"/>
        </w:rPr>
        <w:t>仪器设备操作保养实行定人定设备专管负责制，仪器设备的具体责任人见《仪器设备检定</w:t>
      </w:r>
      <w:r>
        <w:rPr>
          <w:rFonts w:ascii="Times New Roman" w:hAnsi="Times New Roman"/>
          <w:sz w:val="21"/>
          <w:szCs w:val="21"/>
        </w:rPr>
        <w:t>/</w:t>
      </w:r>
      <w:r>
        <w:rPr>
          <w:rFonts w:hint="eastAsia" w:cs="宋体"/>
          <w:sz w:val="21"/>
          <w:szCs w:val="21"/>
        </w:rPr>
        <w:t>校准（验证）确认总体要求》和仪器设备授权书。设备的维护保养应制定计划，内容应包括：设备名称、时间要求、执行部门、维护人员、维护原因、内容、结果要求。</w:t>
      </w:r>
    </w:p>
    <w:p>
      <w:pPr>
        <w:pStyle w:val="7"/>
        <w:numPr>
          <w:ilvl w:val="4"/>
          <w:numId w:val="2"/>
        </w:numPr>
        <w:tabs>
          <w:tab w:val="clear" w:pos="945"/>
        </w:tabs>
        <w:ind w:hanging="945" w:hangingChars="450"/>
        <w:rPr>
          <w:rFonts w:hint="default" w:ascii="Times New Roman" w:hAnsi="Times New Roman" w:eastAsia="宋体"/>
        </w:rPr>
      </w:pPr>
      <w:r>
        <w:rPr>
          <w:rFonts w:ascii="宋体" w:eastAsia="宋体" w:cs="宋体"/>
        </w:rPr>
        <w:t>一般设备的维护保养</w:t>
      </w:r>
    </w:p>
    <w:p>
      <w:pPr>
        <w:pStyle w:val="11"/>
        <w:numPr>
          <w:ilvl w:val="3"/>
          <w:numId w:val="0"/>
        </w:numPr>
        <w:ind w:firstLine="630" w:firstLineChars="300"/>
        <w:rPr>
          <w:rFonts w:hint="default" w:ascii="Times New Roman" w:hAnsi="Times New Roman"/>
        </w:rPr>
      </w:pPr>
      <w:r>
        <w:rPr>
          <w:rFonts w:ascii="宋体" w:eastAsia="宋体" w:cs="宋体"/>
        </w:rPr>
        <w:t>一般设备的维护保养由操作人员负责，每次使用仪器设备时都应进行，并将维护保养情况填写在《仪器设备使用记录》中。一般设备的维护保养内容根据仪器设备的特点，按仪器设备使用说明书、操作规程规定，选取恰当的项目进行。</w:t>
      </w:r>
    </w:p>
    <w:p>
      <w:pPr>
        <w:ind w:firstLine="420" w:firstLineChars="200"/>
        <w:rPr>
          <w:rFonts w:ascii="黑体" w:hAnsi="宋体" w:eastAsia="黑体" w:cs="黑体"/>
          <w:color w:val="000000"/>
          <w:szCs w:val="21"/>
        </w:rPr>
      </w:pPr>
      <w:r>
        <w:rPr>
          <w:rFonts w:hint="eastAsia" w:ascii="黑体" w:hAnsi="宋体" w:eastAsia="黑体" w:cs="黑体"/>
          <w:szCs w:val="21"/>
        </w:rPr>
        <w:t>a)</w:t>
      </w:r>
      <w:r>
        <w:rPr>
          <w:rFonts w:hint="eastAsia" w:ascii="宋体" w:hAnsi="宋体" w:eastAsia="宋体" w:cs="宋体"/>
          <w:szCs w:val="21"/>
        </w:rPr>
        <w:t>检查通电开机是否工作正常，有无异常声响</w:t>
      </w:r>
      <w:r>
        <w:rPr>
          <w:rFonts w:hint="eastAsia" w:ascii="黑体" w:hAnsi="宋体" w:eastAsia="黑体" w:cs="黑体"/>
          <w:szCs w:val="21"/>
        </w:rPr>
        <w:t xml:space="preserve">, </w:t>
      </w:r>
      <w:r>
        <w:rPr>
          <w:rFonts w:hint="eastAsia" w:ascii="宋体" w:hAnsi="宋体" w:eastAsia="宋体" w:cs="宋体"/>
          <w:szCs w:val="21"/>
        </w:rPr>
        <w:t>显示器、</w:t>
      </w:r>
      <w:r>
        <w:rPr>
          <w:rFonts w:hint="eastAsia" w:ascii="宋体" w:hAnsi="宋体" w:eastAsia="宋体" w:cs="宋体"/>
          <w:color w:val="000000"/>
          <w:szCs w:val="21"/>
        </w:rPr>
        <w:t>指示仪表的显示是否正常。</w:t>
      </w:r>
      <w:r>
        <w:rPr>
          <w:rFonts w:hint="eastAsia" w:ascii="黑体" w:hAnsi="宋体" w:eastAsia="黑体" w:cs="黑体"/>
          <w:color w:val="000000"/>
          <w:szCs w:val="21"/>
        </w:rPr>
        <w:t xml:space="preserve"> </w:t>
      </w:r>
    </w:p>
    <w:p>
      <w:pPr>
        <w:ind w:firstLine="420" w:firstLineChars="200"/>
        <w:rPr>
          <w:rFonts w:ascii="黑体" w:hAnsi="宋体" w:eastAsia="黑体" w:cs="黑体"/>
          <w:color w:val="000000"/>
          <w:szCs w:val="21"/>
        </w:rPr>
      </w:pPr>
      <w:r>
        <w:rPr>
          <w:rFonts w:hint="eastAsia" w:ascii="黑体" w:hAnsi="宋体" w:eastAsia="黑体" w:cs="黑体"/>
          <w:color w:val="000000"/>
          <w:szCs w:val="21"/>
        </w:rPr>
        <w:t>b</w:t>
      </w:r>
      <w:r>
        <w:rPr>
          <w:rFonts w:hint="eastAsia" w:ascii="黑体" w:hAnsi="宋体" w:eastAsia="黑体" w:cs="黑体"/>
          <w:szCs w:val="21"/>
        </w:rPr>
        <w:t>)</w:t>
      </w:r>
      <w:r>
        <w:rPr>
          <w:rFonts w:hint="eastAsia" w:ascii="宋体" w:hAnsi="宋体" w:eastAsia="宋体" w:cs="宋体"/>
          <w:color w:val="000000"/>
          <w:szCs w:val="21"/>
        </w:rPr>
        <w:t>检查连接装置是否安装牢固。</w:t>
      </w:r>
    </w:p>
    <w:p>
      <w:pPr>
        <w:ind w:firstLine="420" w:firstLineChars="200"/>
        <w:rPr>
          <w:rFonts w:ascii="宋体" w:hAnsi="宋体" w:eastAsia="宋体" w:cs="宋体"/>
          <w:color w:val="000000"/>
          <w:szCs w:val="21"/>
        </w:rPr>
      </w:pPr>
      <w:r>
        <w:rPr>
          <w:rFonts w:hint="eastAsia" w:ascii="黑体" w:hAnsi="宋体" w:eastAsia="黑体" w:cs="黑体"/>
          <w:szCs w:val="21"/>
        </w:rPr>
        <w:t>c)</w:t>
      </w:r>
      <w:r>
        <w:rPr>
          <w:rFonts w:hint="eastAsia" w:ascii="宋体" w:hAnsi="宋体" w:eastAsia="宋体" w:cs="宋体"/>
          <w:color w:val="000000"/>
          <w:szCs w:val="21"/>
        </w:rPr>
        <w:t>检查电气控制线路是否有绝缘老化等现象。</w:t>
      </w:r>
    </w:p>
    <w:p>
      <w:pPr>
        <w:ind w:firstLine="420" w:firstLineChars="200"/>
        <w:rPr>
          <w:rFonts w:ascii="宋体" w:hAnsi="宋体" w:eastAsia="宋体" w:cs="宋体"/>
          <w:color w:val="000000"/>
          <w:szCs w:val="21"/>
        </w:rPr>
      </w:pPr>
      <w:r>
        <w:rPr>
          <w:rFonts w:hint="eastAsia" w:ascii="黑体" w:hAnsi="宋体" w:eastAsia="黑体" w:cs="黑体"/>
          <w:color w:val="000000"/>
          <w:szCs w:val="21"/>
        </w:rPr>
        <w:t>d</w:t>
      </w:r>
      <w:r>
        <w:rPr>
          <w:rFonts w:hint="eastAsia" w:ascii="黑体" w:hAnsi="宋体" w:eastAsia="黑体" w:cs="黑体"/>
          <w:szCs w:val="21"/>
        </w:rPr>
        <w:t xml:space="preserve">) </w:t>
      </w:r>
      <w:r>
        <w:rPr>
          <w:rFonts w:hint="eastAsia" w:ascii="宋体" w:hAnsi="宋体" w:eastAsia="宋体" w:cs="宋体"/>
          <w:color w:val="000000"/>
          <w:szCs w:val="21"/>
        </w:rPr>
        <w:t>检查电气闭锁装置是否正常。</w:t>
      </w:r>
    </w:p>
    <w:p>
      <w:pPr>
        <w:ind w:firstLine="420" w:firstLineChars="200"/>
        <w:rPr>
          <w:rFonts w:ascii="黑体" w:hAnsi="宋体" w:eastAsia="黑体" w:cs="黑体"/>
          <w:color w:val="000000"/>
          <w:szCs w:val="21"/>
        </w:rPr>
      </w:pPr>
      <w:r>
        <w:rPr>
          <w:rFonts w:hint="eastAsia" w:ascii="黑体" w:hAnsi="宋体" w:eastAsia="黑体" w:cs="黑体"/>
          <w:color w:val="000000"/>
          <w:szCs w:val="21"/>
        </w:rPr>
        <w:t>e</w:t>
      </w:r>
      <w:r>
        <w:rPr>
          <w:rFonts w:hint="eastAsia" w:ascii="黑体" w:hAnsi="宋体" w:eastAsia="黑体" w:cs="黑体"/>
          <w:szCs w:val="21"/>
        </w:rPr>
        <w:t>)</w:t>
      </w:r>
      <w:r>
        <w:rPr>
          <w:rFonts w:hint="eastAsia" w:ascii="黑体" w:hAnsi="宋体" w:eastAsia="黑体" w:cs="黑体"/>
          <w:color w:val="000000"/>
          <w:szCs w:val="21"/>
        </w:rPr>
        <w:t xml:space="preserve"> </w:t>
      </w:r>
      <w:r>
        <w:rPr>
          <w:rFonts w:hint="eastAsia" w:ascii="宋体" w:hAnsi="宋体" w:eastAsia="宋体" w:cs="宋体"/>
          <w:color w:val="000000"/>
          <w:szCs w:val="21"/>
        </w:rPr>
        <w:t>检查机体和控制器的接地装置连接是否可靠。</w:t>
      </w:r>
    </w:p>
    <w:p>
      <w:pPr>
        <w:ind w:firstLine="420" w:firstLineChars="200"/>
        <w:rPr>
          <w:rFonts w:ascii="黑体" w:hAnsi="宋体" w:eastAsia="黑体" w:cs="黑体"/>
          <w:color w:val="000000"/>
          <w:szCs w:val="21"/>
        </w:rPr>
      </w:pPr>
      <w:r>
        <w:rPr>
          <w:rFonts w:hint="eastAsia" w:ascii="黑体" w:hAnsi="宋体" w:eastAsia="黑体" w:cs="黑体"/>
          <w:color w:val="000000"/>
          <w:szCs w:val="21"/>
        </w:rPr>
        <w:t>f</w:t>
      </w:r>
      <w:r>
        <w:rPr>
          <w:rFonts w:hint="eastAsia" w:ascii="黑体" w:hAnsi="宋体" w:eastAsia="黑体" w:cs="黑体"/>
          <w:szCs w:val="21"/>
        </w:rPr>
        <w:t>)</w:t>
      </w:r>
      <w:r>
        <w:rPr>
          <w:rFonts w:hint="eastAsia" w:ascii="黑体" w:hAnsi="宋体" w:eastAsia="黑体" w:cs="黑体"/>
          <w:color w:val="000000"/>
          <w:szCs w:val="21"/>
        </w:rPr>
        <w:t xml:space="preserve"> </w:t>
      </w:r>
      <w:r>
        <w:rPr>
          <w:rFonts w:hint="eastAsia" w:ascii="宋体" w:hAnsi="宋体" w:eastAsia="宋体" w:cs="宋体"/>
          <w:color w:val="000000"/>
          <w:szCs w:val="21"/>
        </w:rPr>
        <w:t>检查数据、信号电缆线的连接及磨损情况。</w:t>
      </w:r>
    </w:p>
    <w:tbl>
      <w:tblPr>
        <w:tblStyle w:val="4"/>
        <w:tblpPr w:leftFromText="180" w:rightFromText="180" w:vertAnchor="text" w:horzAnchor="page" w:tblpX="1807" w:tblpY="55"/>
        <w:tblOverlap w:val="never"/>
        <w:tblW w:w="9401" w:type="dxa"/>
        <w:tblInd w:w="0" w:type="dxa"/>
        <w:tblBorders>
          <w:top w:val="threeDEmboss" w:color="auto" w:sz="18" w:space="0"/>
          <w:left w:val="none" w:color="auto" w:sz="0" w:space="0"/>
          <w:bottom w:val="threeDEmboss"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66"/>
        <w:gridCol w:w="2452"/>
        <w:gridCol w:w="2249"/>
        <w:gridCol w:w="3134"/>
      </w:tblGrid>
      <w:tr>
        <w:tblPrEx>
          <w:tblBorders>
            <w:top w:val="threeDEmboss" w:color="auto" w:sz="18" w:space="0"/>
            <w:left w:val="none" w:color="auto" w:sz="0" w:space="0"/>
            <w:bottom w:val="threeDEmboss"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018" w:type="dxa"/>
            <w:gridSpan w:val="2"/>
            <w:vMerge w:val="restart"/>
            <w:tcBorders>
              <w:tl2br w:val="nil"/>
              <w:tr2bl w:val="nil"/>
            </w:tcBorders>
            <w:vAlign w:val="center"/>
          </w:tcPr>
          <w:p>
            <w:pPr>
              <w:pStyle w:val="6"/>
              <w:widowControl w:val="0"/>
              <w:ind w:firstLine="420"/>
              <w:jc w:val="center"/>
              <w:rPr>
                <w:rFonts w:ascii="黑体" w:hAnsi="黑体" w:eastAsia="黑体" w:cs="黑体"/>
                <w:szCs w:val="21"/>
              </w:rPr>
            </w:pPr>
            <w:r>
              <w:rPr>
                <w:rFonts w:hint="eastAsia" w:ascii="黑体" w:hAnsi="黑体" w:eastAsia="黑体" w:cs="黑体"/>
                <w:szCs w:val="21"/>
              </w:rPr>
              <w:t>仪器设备（含软件）和标准物质管理程序</w:t>
            </w:r>
          </w:p>
        </w:tc>
        <w:tc>
          <w:tcPr>
            <w:tcW w:w="2249" w:type="dxa"/>
            <w:tcBorders>
              <w:tl2br w:val="nil"/>
              <w:tr2bl w:val="nil"/>
            </w:tcBorders>
            <w:vAlign w:val="center"/>
          </w:tcPr>
          <w:p>
            <w:pPr>
              <w:pStyle w:val="2"/>
              <w:pBdr>
                <w:bottom w:val="none" w:color="auto" w:sz="0" w:space="0"/>
              </w:pBdr>
              <w:tabs>
                <w:tab w:val="center" w:pos="4153"/>
                <w:tab w:val="right" w:pos="8306"/>
              </w:tabs>
              <w:rPr>
                <w:rFonts w:hint="default" w:hAnsi="黑体"/>
                <w:sz w:val="21"/>
                <w:szCs w:val="21"/>
              </w:rPr>
            </w:pPr>
            <w:r>
              <w:rPr>
                <w:rFonts w:hAnsi="黑体" w:cs="黑体"/>
                <w:sz w:val="21"/>
                <w:szCs w:val="21"/>
              </w:rPr>
              <w:t>页  数</w:t>
            </w:r>
          </w:p>
        </w:tc>
        <w:tc>
          <w:tcPr>
            <w:tcW w:w="3134" w:type="dxa"/>
            <w:tcBorders>
              <w:tl2br w:val="nil"/>
              <w:tr2bl w:val="nil"/>
            </w:tcBorders>
            <w:vAlign w:val="center"/>
          </w:tcPr>
          <w:p>
            <w:pPr>
              <w:pStyle w:val="2"/>
              <w:pBdr>
                <w:bottom w:val="none" w:color="auto" w:sz="0" w:space="0"/>
              </w:pBdr>
              <w:tabs>
                <w:tab w:val="center" w:pos="4153"/>
                <w:tab w:val="right" w:pos="8306"/>
              </w:tabs>
              <w:rPr>
                <w:rFonts w:hint="default" w:hAnsi="黑体"/>
                <w:sz w:val="21"/>
                <w:szCs w:val="21"/>
              </w:rPr>
            </w:pPr>
            <w:r>
              <w:rPr>
                <w:rFonts w:hAnsi="黑体" w:cs="黑体"/>
                <w:sz w:val="21"/>
                <w:szCs w:val="21"/>
              </w:rPr>
              <w:t xml:space="preserve">第6 页  共 </w:t>
            </w:r>
            <w:r>
              <w:rPr>
                <w:rFonts w:hint="eastAsia" w:hAnsi="黑体" w:cs="黑体"/>
                <w:sz w:val="21"/>
                <w:szCs w:val="21"/>
                <w:lang w:val="en-US" w:eastAsia="zh-CN"/>
              </w:rPr>
              <w:t>8</w:t>
            </w:r>
            <w:r>
              <w:rPr>
                <w:rFonts w:hAnsi="黑体" w:cs="黑体"/>
                <w:sz w:val="21"/>
                <w:szCs w:val="21"/>
              </w:rPr>
              <w:t>页</w:t>
            </w:r>
          </w:p>
        </w:tc>
      </w:tr>
      <w:tr>
        <w:tblPrEx>
          <w:tblBorders>
            <w:top w:val="threeDEmboss" w:color="auto" w:sz="18" w:space="0"/>
            <w:left w:val="none" w:color="auto" w:sz="0" w:space="0"/>
            <w:bottom w:val="threeDEmboss"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018" w:type="dxa"/>
            <w:gridSpan w:val="2"/>
            <w:vMerge w:val="continue"/>
            <w:tcBorders>
              <w:tl2br w:val="nil"/>
              <w:tr2bl w:val="nil"/>
            </w:tcBorders>
          </w:tcPr>
          <w:p>
            <w:pPr>
              <w:pStyle w:val="6"/>
              <w:widowControl w:val="0"/>
              <w:ind w:firstLine="420"/>
              <w:rPr>
                <w:rFonts w:ascii="黑体" w:hAnsi="黑体" w:eastAsia="黑体" w:cs="黑体"/>
                <w:szCs w:val="21"/>
              </w:rPr>
            </w:pPr>
          </w:p>
        </w:tc>
        <w:tc>
          <w:tcPr>
            <w:tcW w:w="2249" w:type="dxa"/>
            <w:tcBorders>
              <w:tl2br w:val="nil"/>
              <w:tr2bl w:val="nil"/>
            </w:tcBorders>
            <w:vAlign w:val="center"/>
          </w:tcPr>
          <w:p>
            <w:pPr>
              <w:pStyle w:val="2"/>
              <w:pBdr>
                <w:bottom w:val="none" w:color="auto" w:sz="0" w:space="0"/>
              </w:pBdr>
              <w:tabs>
                <w:tab w:val="center" w:pos="4153"/>
                <w:tab w:val="right" w:pos="8306"/>
              </w:tabs>
              <w:rPr>
                <w:rFonts w:hint="default" w:hAnsi="黑体"/>
                <w:sz w:val="21"/>
                <w:szCs w:val="21"/>
              </w:rPr>
            </w:pPr>
            <w:r>
              <w:rPr>
                <w:rFonts w:hAnsi="黑体" w:cs="黑体"/>
                <w:sz w:val="21"/>
                <w:szCs w:val="21"/>
              </w:rPr>
              <w:t>修改号</w:t>
            </w:r>
          </w:p>
        </w:tc>
        <w:tc>
          <w:tcPr>
            <w:tcW w:w="3134" w:type="dxa"/>
            <w:tcBorders>
              <w:tl2br w:val="nil"/>
              <w:tr2bl w:val="nil"/>
            </w:tcBorders>
            <w:vAlign w:val="center"/>
          </w:tcPr>
          <w:p>
            <w:pPr>
              <w:pStyle w:val="2"/>
              <w:pBdr>
                <w:bottom w:val="none" w:color="auto" w:sz="0" w:space="0"/>
              </w:pBdr>
              <w:tabs>
                <w:tab w:val="center" w:pos="4153"/>
                <w:tab w:val="right" w:pos="8306"/>
              </w:tabs>
              <w:rPr>
                <w:rFonts w:hint="default" w:hAnsi="黑体"/>
                <w:sz w:val="21"/>
                <w:szCs w:val="21"/>
              </w:rPr>
            </w:pPr>
            <w:r>
              <w:rPr>
                <w:rFonts w:hAnsi="黑体" w:cs="黑体"/>
                <w:sz w:val="21"/>
                <w:szCs w:val="21"/>
              </w:rPr>
              <w:t>第2019版 第0次修订</w:t>
            </w:r>
          </w:p>
        </w:tc>
      </w:tr>
      <w:tr>
        <w:tblPrEx>
          <w:tblBorders>
            <w:top w:val="threeDEmboss" w:color="auto" w:sz="18" w:space="0"/>
            <w:left w:val="none" w:color="auto" w:sz="0" w:space="0"/>
            <w:bottom w:val="threeDEmboss"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66" w:type="dxa"/>
            <w:tcBorders>
              <w:tl2br w:val="nil"/>
              <w:tr2bl w:val="nil"/>
            </w:tcBorders>
          </w:tcPr>
          <w:p>
            <w:pPr>
              <w:pStyle w:val="6"/>
              <w:widowControl w:val="0"/>
              <w:ind w:firstLine="420"/>
              <w:rPr>
                <w:rFonts w:ascii="黑体" w:hAnsi="黑体" w:eastAsia="黑体" w:cs="黑体"/>
                <w:szCs w:val="21"/>
              </w:rPr>
            </w:pPr>
            <w:r>
              <w:rPr>
                <w:rFonts w:hint="eastAsia" w:ascii="黑体" w:hAnsi="黑体" w:eastAsia="黑体" w:cs="黑体"/>
                <w:szCs w:val="21"/>
              </w:rPr>
              <w:t>文件编号</w:t>
            </w:r>
          </w:p>
        </w:tc>
        <w:tc>
          <w:tcPr>
            <w:tcW w:w="2452" w:type="dxa"/>
            <w:tcBorders>
              <w:tl2br w:val="nil"/>
              <w:tr2bl w:val="nil"/>
            </w:tcBorders>
          </w:tcPr>
          <w:p>
            <w:pPr>
              <w:pStyle w:val="6"/>
              <w:widowControl w:val="0"/>
              <w:ind w:firstLine="420"/>
              <w:rPr>
                <w:rFonts w:ascii="黑体" w:hAnsi="黑体" w:eastAsia="黑体" w:cs="黑体"/>
                <w:szCs w:val="21"/>
              </w:rPr>
            </w:pPr>
            <w:r>
              <w:rPr>
                <w:rFonts w:hint="eastAsia" w:ascii="黑体" w:hAnsi="黑体" w:eastAsia="黑体" w:cs="黑体"/>
                <w:szCs w:val="21"/>
              </w:rPr>
              <w:t xml:space="preserve">HBLD/CX06-2019 </w:t>
            </w:r>
          </w:p>
        </w:tc>
        <w:tc>
          <w:tcPr>
            <w:tcW w:w="2249" w:type="dxa"/>
            <w:tcBorders>
              <w:tl2br w:val="nil"/>
              <w:tr2bl w:val="nil"/>
            </w:tcBorders>
            <w:vAlign w:val="center"/>
          </w:tcPr>
          <w:p>
            <w:pPr>
              <w:pStyle w:val="2"/>
              <w:pBdr>
                <w:bottom w:val="none" w:color="auto" w:sz="0" w:space="0"/>
              </w:pBdr>
              <w:tabs>
                <w:tab w:val="center" w:pos="4153"/>
                <w:tab w:val="right" w:pos="8306"/>
              </w:tabs>
              <w:rPr>
                <w:rFonts w:hint="default" w:hAnsi="黑体"/>
                <w:sz w:val="21"/>
                <w:szCs w:val="21"/>
              </w:rPr>
            </w:pPr>
            <w:r>
              <w:rPr>
                <w:rFonts w:hAnsi="黑体" w:cs="黑体"/>
                <w:sz w:val="21"/>
                <w:szCs w:val="21"/>
              </w:rPr>
              <w:t>执行日期</w:t>
            </w:r>
          </w:p>
        </w:tc>
        <w:tc>
          <w:tcPr>
            <w:tcW w:w="3134" w:type="dxa"/>
            <w:tcBorders>
              <w:tl2br w:val="nil"/>
              <w:tr2bl w:val="nil"/>
            </w:tcBorders>
            <w:vAlign w:val="center"/>
          </w:tcPr>
          <w:p>
            <w:pPr>
              <w:pStyle w:val="2"/>
              <w:pBdr>
                <w:bottom w:val="none" w:color="auto" w:sz="0" w:space="0"/>
              </w:pBdr>
              <w:tabs>
                <w:tab w:val="center" w:pos="4153"/>
                <w:tab w:val="right" w:pos="8306"/>
              </w:tabs>
              <w:rPr>
                <w:rFonts w:hint="default" w:hAnsi="黑体"/>
                <w:sz w:val="21"/>
                <w:szCs w:val="21"/>
              </w:rPr>
            </w:pPr>
            <w:r>
              <w:rPr>
                <w:rFonts w:hAnsi="黑体" w:cs="黑体"/>
                <w:sz w:val="21"/>
                <w:szCs w:val="21"/>
              </w:rPr>
              <w:t>2019年1月1日</w:t>
            </w:r>
          </w:p>
        </w:tc>
      </w:tr>
    </w:tbl>
    <w:p>
      <w:pPr>
        <w:ind w:firstLine="420" w:firstLineChars="200"/>
        <w:rPr>
          <w:rFonts w:ascii="黑体" w:hAnsi="宋体" w:eastAsia="黑体" w:cs="黑体"/>
          <w:szCs w:val="21"/>
        </w:rPr>
      </w:pPr>
      <w:r>
        <w:rPr>
          <w:rFonts w:hint="eastAsia" w:ascii="黑体" w:hAnsi="宋体" w:eastAsia="黑体" w:cs="黑体"/>
          <w:szCs w:val="21"/>
        </w:rPr>
        <w:t xml:space="preserve">g) </w:t>
      </w:r>
      <w:r>
        <w:rPr>
          <w:rFonts w:hint="eastAsia" w:ascii="宋体" w:hAnsi="宋体" w:eastAsia="宋体" w:cs="宋体"/>
          <w:szCs w:val="21"/>
        </w:rPr>
        <w:t>计算机要经常进行杀毒处理，每周至少一次，避免病毒破坏数据测试系统。</w:t>
      </w:r>
    </w:p>
    <w:p>
      <w:pPr>
        <w:ind w:firstLine="420" w:firstLineChars="200"/>
        <w:rPr>
          <w:rFonts w:ascii="黑体" w:hAnsi="宋体" w:eastAsia="黑体" w:cs="黑体"/>
          <w:color w:val="000000"/>
          <w:szCs w:val="21"/>
        </w:rPr>
      </w:pPr>
      <w:r>
        <w:rPr>
          <w:rFonts w:hint="eastAsia" w:ascii="黑体" w:hAnsi="宋体" w:eastAsia="黑体" w:cs="黑体"/>
          <w:color w:val="000000"/>
          <w:szCs w:val="21"/>
        </w:rPr>
        <w:t>h</w:t>
      </w:r>
      <w:r>
        <w:rPr>
          <w:rFonts w:hint="eastAsia" w:ascii="黑体" w:hAnsi="宋体" w:eastAsia="黑体" w:cs="黑体"/>
          <w:szCs w:val="21"/>
        </w:rPr>
        <w:t>)</w:t>
      </w:r>
      <w:r>
        <w:rPr>
          <w:rFonts w:hint="eastAsia" w:ascii="黑体" w:hAnsi="宋体" w:eastAsia="黑体" w:cs="黑体"/>
          <w:color w:val="000000"/>
          <w:szCs w:val="21"/>
        </w:rPr>
        <w:t xml:space="preserve"> </w:t>
      </w:r>
      <w:r>
        <w:rPr>
          <w:rFonts w:hint="eastAsia" w:ascii="宋体" w:hAnsi="宋体" w:eastAsia="宋体" w:cs="宋体"/>
          <w:color w:val="000000"/>
          <w:szCs w:val="21"/>
        </w:rPr>
        <w:t>保持仪器设备的内部和表面清洁。</w:t>
      </w:r>
    </w:p>
    <w:p>
      <w:pPr>
        <w:ind w:firstLine="420" w:firstLineChars="200"/>
        <w:rPr>
          <w:rFonts w:ascii="黑体" w:hAnsi="宋体" w:eastAsia="黑体" w:cs="黑体"/>
          <w:color w:val="000000"/>
          <w:szCs w:val="21"/>
        </w:rPr>
      </w:pPr>
      <w:r>
        <w:rPr>
          <w:rFonts w:hint="eastAsia" w:ascii="黑体" w:hAnsi="宋体" w:eastAsia="黑体" w:cs="黑体"/>
          <w:color w:val="000000"/>
          <w:szCs w:val="21"/>
        </w:rPr>
        <w:t>i</w:t>
      </w:r>
      <w:r>
        <w:rPr>
          <w:rFonts w:hint="eastAsia" w:ascii="黑体" w:hAnsi="宋体" w:eastAsia="黑体" w:cs="黑体"/>
          <w:szCs w:val="21"/>
        </w:rPr>
        <w:t>)</w:t>
      </w:r>
      <w:r>
        <w:rPr>
          <w:rFonts w:hint="eastAsia" w:ascii="黑体" w:hAnsi="宋体" w:eastAsia="黑体" w:cs="黑体"/>
          <w:color w:val="000000"/>
          <w:szCs w:val="21"/>
        </w:rPr>
        <w:t xml:space="preserve"> </w:t>
      </w:r>
      <w:r>
        <w:rPr>
          <w:rFonts w:hint="eastAsia" w:ascii="宋体" w:hAnsi="宋体" w:eastAsia="宋体" w:cs="宋体"/>
          <w:color w:val="000000"/>
          <w:szCs w:val="21"/>
        </w:rPr>
        <w:t>如受到严重的潮湿、潮气的侵害，要立即采取去湿措施，防止元器件及仪器设备的损坏。</w:t>
      </w:r>
    </w:p>
    <w:p>
      <w:pPr>
        <w:ind w:firstLine="420" w:firstLineChars="200"/>
        <w:rPr>
          <w:rFonts w:ascii="黑体" w:hAnsi="宋体" w:eastAsia="黑体" w:cs="黑体"/>
          <w:color w:val="000000"/>
          <w:szCs w:val="21"/>
        </w:rPr>
      </w:pPr>
      <w:r>
        <w:rPr>
          <w:rFonts w:hint="eastAsia" w:ascii="黑体" w:hAnsi="宋体" w:eastAsia="黑体" w:cs="黑体"/>
          <w:color w:val="000000"/>
          <w:szCs w:val="21"/>
        </w:rPr>
        <w:t>j</w:t>
      </w:r>
      <w:r>
        <w:rPr>
          <w:rFonts w:hint="eastAsia" w:ascii="黑体" w:hAnsi="宋体" w:eastAsia="黑体" w:cs="黑体"/>
          <w:szCs w:val="21"/>
        </w:rPr>
        <w:t>)</w:t>
      </w:r>
      <w:r>
        <w:rPr>
          <w:rFonts w:hint="eastAsia" w:ascii="黑体" w:hAnsi="宋体" w:eastAsia="黑体" w:cs="黑体"/>
          <w:color w:val="000000"/>
          <w:szCs w:val="21"/>
        </w:rPr>
        <w:t xml:space="preserve"> </w:t>
      </w:r>
      <w:r>
        <w:rPr>
          <w:rFonts w:hint="eastAsia" w:ascii="宋体" w:hAnsi="宋体" w:eastAsia="宋体" w:cs="宋体"/>
          <w:color w:val="000000"/>
          <w:szCs w:val="21"/>
        </w:rPr>
        <w:t>仪器设备闲置超过一个月，每月至少应通电开机一次，模拟运行</w:t>
      </w:r>
      <w:r>
        <w:rPr>
          <w:rFonts w:hint="eastAsia" w:ascii="黑体" w:hAnsi="宋体" w:eastAsia="黑体" w:cs="黑体"/>
          <w:color w:val="000000"/>
          <w:szCs w:val="21"/>
        </w:rPr>
        <w:t>1-2</w:t>
      </w:r>
      <w:r>
        <w:rPr>
          <w:rFonts w:hint="eastAsia" w:ascii="宋体" w:hAnsi="宋体" w:eastAsia="宋体" w:cs="宋体"/>
          <w:color w:val="000000"/>
          <w:szCs w:val="21"/>
        </w:rPr>
        <w:t>小时，以保证仪器设备的稳定性，可靠性。</w:t>
      </w:r>
    </w:p>
    <w:p>
      <w:pPr>
        <w:ind w:firstLine="420" w:firstLineChars="200"/>
        <w:rPr>
          <w:rFonts w:ascii="黑体" w:hAnsi="宋体" w:eastAsia="黑体" w:cs="黑体"/>
          <w:color w:val="000000"/>
          <w:szCs w:val="21"/>
        </w:rPr>
      </w:pPr>
      <w:r>
        <w:rPr>
          <w:rFonts w:hint="eastAsia" w:ascii="黑体" w:hAnsi="宋体" w:eastAsia="黑体" w:cs="黑体"/>
          <w:color w:val="000000"/>
          <w:szCs w:val="21"/>
        </w:rPr>
        <w:t xml:space="preserve">k) </w:t>
      </w:r>
      <w:r>
        <w:rPr>
          <w:rFonts w:hint="eastAsia" w:ascii="宋体" w:hAnsi="宋体" w:eastAsia="宋体" w:cs="宋体"/>
          <w:color w:val="000000"/>
          <w:szCs w:val="21"/>
        </w:rPr>
        <w:t>检查设备附件是否完整、完好。</w:t>
      </w:r>
    </w:p>
    <w:p>
      <w:pPr>
        <w:pStyle w:val="7"/>
        <w:numPr>
          <w:ilvl w:val="4"/>
          <w:numId w:val="2"/>
        </w:numPr>
        <w:tabs>
          <w:tab w:val="clear" w:pos="945"/>
        </w:tabs>
        <w:ind w:hanging="945" w:hangingChars="450"/>
        <w:rPr>
          <w:rFonts w:hint="default" w:ascii="Times New Roman" w:hAnsi="Times New Roman" w:eastAsia="宋体"/>
        </w:rPr>
      </w:pPr>
      <w:r>
        <w:rPr>
          <w:rFonts w:ascii="宋体" w:eastAsia="宋体" w:cs="宋体"/>
        </w:rPr>
        <w:t>大型设备的维护保养</w:t>
      </w:r>
    </w:p>
    <w:p>
      <w:pPr>
        <w:ind w:firstLine="420" w:firstLineChars="200"/>
        <w:rPr>
          <w:rFonts w:ascii="黑体" w:hAnsi="宋体" w:eastAsia="黑体" w:cs="黑体"/>
          <w:szCs w:val="21"/>
        </w:rPr>
      </w:pPr>
      <w:r>
        <w:rPr>
          <w:rFonts w:hint="eastAsia" w:ascii="宋体" w:hAnsi="宋体" w:eastAsia="宋体" w:cs="宋体"/>
          <w:color w:val="000000"/>
          <w:szCs w:val="21"/>
        </w:rPr>
        <w:t>根据仪器设备的使用情况、设备状况及其使用说明书的要求，每年年初由设备管理员制定出本公司主要仪器设备定期维护保养计划，报技术负责人批准后由检验室主任组织，设备专管人员</w:t>
      </w:r>
      <w:r>
        <w:rPr>
          <w:rFonts w:hint="eastAsia" w:ascii="宋体" w:hAnsi="宋体" w:eastAsia="宋体" w:cs="宋体"/>
          <w:szCs w:val="21"/>
        </w:rPr>
        <w:t>负责具体实施。维护保养后要及时填写《仪器设备维护保养记录》，设备管理员按规定归档。</w:t>
      </w:r>
    </w:p>
    <w:p>
      <w:pPr>
        <w:ind w:firstLine="630" w:firstLineChars="300"/>
        <w:jc w:val="left"/>
        <w:rPr>
          <w:rFonts w:ascii="黑体" w:hAnsi="宋体" w:eastAsia="黑体" w:cs="黑体"/>
          <w:color w:val="000000"/>
          <w:szCs w:val="21"/>
        </w:rPr>
      </w:pPr>
      <w:r>
        <w:rPr>
          <w:rFonts w:hint="eastAsia" w:ascii="宋体" w:hAnsi="宋体" w:eastAsia="宋体" w:cs="宋体"/>
          <w:szCs w:val="21"/>
        </w:rPr>
        <w:t>本公司同时制定了</w:t>
      </w:r>
      <w:r>
        <w:rPr>
          <w:rFonts w:hint="eastAsia" w:ascii="宋体" w:hAnsi="宋体" w:eastAsia="宋体" w:cs="宋体"/>
          <w:color w:val="000000"/>
          <w:szCs w:val="21"/>
        </w:rPr>
        <w:t>《理化仪器设备维护保养内容作业指导书》和《精密仪器设备维护保养作业指导》具体规定了维护保养的内容。</w:t>
      </w:r>
    </w:p>
    <w:p>
      <w:pPr>
        <w:pStyle w:val="3"/>
        <w:numPr>
          <w:ilvl w:val="3"/>
          <w:numId w:val="2"/>
        </w:numPr>
        <w:spacing w:beforeAutospacing="0" w:afterAutospacing="0"/>
        <w:ind w:left="0" w:firstLine="0"/>
        <w:jc w:val="both"/>
        <w:outlineLvl w:val="3"/>
        <w:rPr>
          <w:rFonts w:ascii="Times New Roman" w:hAnsi="Times New Roman"/>
          <w:sz w:val="21"/>
          <w:szCs w:val="21"/>
        </w:rPr>
      </w:pPr>
      <w:r>
        <w:rPr>
          <w:rFonts w:hint="eastAsia" w:cs="宋体"/>
          <w:sz w:val="21"/>
          <w:szCs w:val="21"/>
        </w:rPr>
        <w:t>设备需要维修时，由检验室提出申请，报技术负责人批准后实施。如需外部支持服务单位进行维修，应执行《服务和供应品控制程序》，报综合办公室审批并填写《仪器设备维修审批登记表》。</w:t>
      </w:r>
    </w:p>
    <w:p>
      <w:pPr>
        <w:pStyle w:val="3"/>
        <w:numPr>
          <w:ilvl w:val="3"/>
          <w:numId w:val="2"/>
        </w:numPr>
        <w:spacing w:beforeAutospacing="0" w:afterAutospacing="0"/>
        <w:ind w:left="0" w:firstLine="0"/>
        <w:jc w:val="both"/>
        <w:outlineLvl w:val="3"/>
        <w:rPr>
          <w:rFonts w:ascii="Times New Roman" w:hAnsi="Times New Roman"/>
          <w:sz w:val="21"/>
          <w:szCs w:val="21"/>
        </w:rPr>
      </w:pPr>
      <w:r>
        <w:rPr>
          <w:rFonts w:hint="eastAsia" w:cs="宋体"/>
          <w:sz w:val="21"/>
          <w:szCs w:val="21"/>
        </w:rPr>
        <w:t>维修后的设备，需经检定或校准合格，并经技术负责人确认核准后方可投入使用。维修记录记入《仪器设备履历表》和《计量器具历史记录卡》。检定执行《测量溯源性控制程序》。在进行检定前应选择合格的计量检定服务方，并执行《服务和供应品控制程序》。</w:t>
      </w:r>
    </w:p>
    <w:p>
      <w:pPr>
        <w:pStyle w:val="3"/>
        <w:numPr>
          <w:ilvl w:val="3"/>
          <w:numId w:val="2"/>
        </w:numPr>
        <w:spacing w:beforeAutospacing="0" w:afterAutospacing="0"/>
        <w:ind w:left="0" w:firstLine="0"/>
        <w:jc w:val="both"/>
        <w:outlineLvl w:val="3"/>
        <w:rPr>
          <w:rFonts w:ascii="Times New Roman" w:hAnsi="Times New Roman" w:eastAsia="黑体"/>
          <w:sz w:val="21"/>
          <w:szCs w:val="21"/>
        </w:rPr>
      </w:pPr>
      <w:r>
        <w:rPr>
          <w:rFonts w:hint="eastAsia" w:cs="宋体"/>
          <w:sz w:val="21"/>
          <w:szCs w:val="21"/>
        </w:rPr>
        <w:t>对于专用检测仪器，出具检测数据的应经检定或校准部门验证可靠性；其余无需进行检定或校准的仪器设备也要采取相应验证措施来证实其符合性。验证确认方法见《测量溯源性控制程序》。</w:t>
      </w:r>
    </w:p>
    <w:p>
      <w:pPr>
        <w:pStyle w:val="3"/>
        <w:numPr>
          <w:ilvl w:val="3"/>
          <w:numId w:val="2"/>
        </w:numPr>
        <w:spacing w:beforeAutospacing="0" w:afterAutospacing="0"/>
        <w:ind w:left="0" w:firstLine="0"/>
        <w:jc w:val="both"/>
        <w:outlineLvl w:val="3"/>
        <w:rPr>
          <w:rFonts w:cs="宋体"/>
          <w:sz w:val="21"/>
          <w:szCs w:val="21"/>
        </w:rPr>
      </w:pPr>
      <w:r>
        <w:rPr>
          <w:rFonts w:hint="eastAsia" w:cs="宋体"/>
          <w:sz w:val="21"/>
          <w:szCs w:val="21"/>
        </w:rPr>
        <w:t xml:space="preserve">仪器设备如为人员操作不当，应按标准规定重新进行检测，原检测数据作废；如仪器及人员操作无异常或不当，应按标准重新进行检测或由另一检测人员按标准进行操作，如两人的检测数据相同或在允差范围之内则数据有效，如两人数据不符合有效规定应请第三人进行检测以重合者数据为准，应查找并记录数据差错原因，防止以后再发生类似现象。 </w:t>
      </w:r>
    </w:p>
    <w:p>
      <w:pPr>
        <w:pStyle w:val="3"/>
        <w:numPr>
          <w:ilvl w:val="3"/>
          <w:numId w:val="2"/>
        </w:numPr>
        <w:spacing w:beforeAutospacing="0" w:afterAutospacing="0"/>
        <w:ind w:left="0" w:firstLine="0"/>
        <w:jc w:val="both"/>
        <w:outlineLvl w:val="3"/>
        <w:rPr>
          <w:rFonts w:ascii="Times New Roman" w:hAnsi="Times New Roman" w:eastAsia="黑体"/>
          <w:b/>
          <w:sz w:val="21"/>
          <w:szCs w:val="21"/>
        </w:rPr>
      </w:pPr>
      <w:r>
        <w:rPr>
          <w:rFonts w:hint="eastAsia" w:cs="宋体"/>
          <w:sz w:val="21"/>
          <w:szCs w:val="21"/>
        </w:rPr>
        <w:t>在经确认的测量设备上，对影响其性能的调整装置要进行封印或采取其他保护措施，以防止未经授权的改变。封印或保护装置的设计和实施应保证一旦改变将会被发现。</w:t>
      </w:r>
    </w:p>
    <w:p>
      <w:pPr>
        <w:pStyle w:val="3"/>
        <w:keepNext w:val="0"/>
        <w:keepLines w:val="0"/>
        <w:pageBreakBefore w:val="0"/>
        <w:widowControl/>
        <w:numPr>
          <w:ilvl w:val="2"/>
          <w:numId w:val="2"/>
        </w:numPr>
        <w:kinsoku/>
        <w:wordWrap/>
        <w:overflowPunct/>
        <w:topLinePunct w:val="0"/>
        <w:autoSpaceDE/>
        <w:autoSpaceDN/>
        <w:bidi w:val="0"/>
        <w:adjustRightInd/>
        <w:snapToGrid/>
        <w:spacing w:beforeAutospacing="0" w:afterAutospacing="0"/>
        <w:ind w:left="0" w:firstLine="0"/>
        <w:jc w:val="both"/>
        <w:textAlignment w:val="auto"/>
        <w:outlineLvl w:val="2"/>
        <w:rPr>
          <w:rFonts w:ascii="Times New Roman" w:hAnsi="Times New Roman"/>
          <w:sz w:val="21"/>
          <w:szCs w:val="21"/>
        </w:rPr>
      </w:pPr>
      <w:r>
        <w:rPr>
          <w:rFonts w:hint="eastAsia" w:cs="宋体"/>
          <w:sz w:val="21"/>
          <w:szCs w:val="21"/>
        </w:rPr>
        <w:t>仪器设备异常情况控制</w:t>
      </w:r>
    </w:p>
    <w:p>
      <w:pPr>
        <w:pStyle w:val="3"/>
        <w:autoSpaceDE w:val="0"/>
        <w:autoSpaceDN w:val="0"/>
        <w:spacing w:beforeAutospacing="0" w:afterAutospacing="0"/>
        <w:ind w:firstLine="420" w:firstLineChars="200"/>
        <w:jc w:val="both"/>
        <w:rPr>
          <w:rFonts w:ascii="Times New Roman" w:hAnsi="Times New Roman"/>
          <w:sz w:val="21"/>
          <w:szCs w:val="21"/>
        </w:rPr>
      </w:pPr>
      <w:r>
        <w:rPr>
          <w:rFonts w:hint="eastAsia" w:cs="宋体"/>
          <w:sz w:val="21"/>
          <w:szCs w:val="21"/>
        </w:rPr>
        <w:t>仪器设备出现异常情况，遇误用、误操作、超负荷突发故障和事故，发现检验精度不符合要求，显示的结果可疑或通过校验表明有缺陷时，应立即停机断电，加以明显</w:t>
      </w:r>
      <w:r>
        <w:rPr>
          <w:rFonts w:hint="eastAsia" w:ascii="Times New Roman" w:cs="宋体"/>
          <w:sz w:val="21"/>
          <w:szCs w:val="21"/>
        </w:rPr>
        <w:t>“</w:t>
      </w:r>
      <w:r>
        <w:rPr>
          <w:rFonts w:hint="eastAsia" w:cs="宋体"/>
          <w:sz w:val="21"/>
          <w:szCs w:val="21"/>
        </w:rPr>
        <w:t>停用</w:t>
      </w:r>
      <w:r>
        <w:rPr>
          <w:rFonts w:hint="eastAsia" w:ascii="Times New Roman" w:cs="宋体"/>
          <w:sz w:val="21"/>
          <w:szCs w:val="21"/>
        </w:rPr>
        <w:t>”</w:t>
      </w:r>
      <w:r>
        <w:rPr>
          <w:rFonts w:hint="eastAsia" w:cs="宋体"/>
          <w:sz w:val="21"/>
          <w:szCs w:val="21"/>
        </w:rPr>
        <w:t>状态标识，查找原因。</w:t>
      </w:r>
    </w:p>
    <w:p>
      <w:pPr>
        <w:pStyle w:val="3"/>
        <w:autoSpaceDE w:val="0"/>
        <w:autoSpaceDN w:val="0"/>
        <w:spacing w:beforeAutospacing="0" w:afterAutospacing="0"/>
        <w:ind w:firstLine="420" w:firstLineChars="200"/>
        <w:jc w:val="both"/>
        <w:rPr>
          <w:rFonts w:ascii="Times New Roman" w:hAnsi="Times New Roman"/>
          <w:sz w:val="21"/>
          <w:szCs w:val="21"/>
        </w:rPr>
      </w:pPr>
      <w:r>
        <w:rPr>
          <w:rFonts w:hint="eastAsia" w:cs="宋体"/>
          <w:sz w:val="21"/>
          <w:szCs w:val="21"/>
        </w:rPr>
        <w:t>将其储存在检验室规定的地方，经排除故障，重新检定、校准、或者检验表明运行满意，方可使用。由于上述原因、停电停水停气、备用电源不工作等对检验工作造成影响，应立即报告技术负责人，采取应急措施。</w:t>
      </w:r>
    </w:p>
    <w:p>
      <w:pPr>
        <w:pStyle w:val="3"/>
        <w:keepNext w:val="0"/>
        <w:keepLines w:val="0"/>
        <w:pageBreakBefore w:val="0"/>
        <w:widowControl/>
        <w:numPr>
          <w:ilvl w:val="2"/>
          <w:numId w:val="2"/>
        </w:numPr>
        <w:kinsoku/>
        <w:wordWrap/>
        <w:overflowPunct/>
        <w:topLinePunct w:val="0"/>
        <w:autoSpaceDE/>
        <w:autoSpaceDN/>
        <w:bidi w:val="0"/>
        <w:adjustRightInd/>
        <w:snapToGrid/>
        <w:spacing w:beforeAutospacing="0" w:afterAutospacing="0"/>
        <w:ind w:left="0" w:firstLine="0"/>
        <w:jc w:val="both"/>
        <w:textAlignment w:val="auto"/>
        <w:outlineLvl w:val="2"/>
        <w:rPr>
          <w:rFonts w:hint="eastAsia" w:cs="宋体"/>
          <w:sz w:val="21"/>
          <w:szCs w:val="21"/>
        </w:rPr>
      </w:pPr>
      <w:r>
        <w:rPr>
          <w:rFonts w:hint="eastAsia" w:cs="宋体"/>
          <w:sz w:val="21"/>
          <w:szCs w:val="21"/>
        </w:rPr>
        <w:t>停用、降级与报废</w:t>
      </w:r>
    </w:p>
    <w:p>
      <w:pPr>
        <w:pStyle w:val="3"/>
        <w:numPr>
          <w:ilvl w:val="3"/>
          <w:numId w:val="2"/>
        </w:numPr>
        <w:spacing w:beforeAutospacing="0" w:afterAutospacing="0"/>
        <w:ind w:left="0" w:firstLine="0"/>
        <w:jc w:val="both"/>
        <w:outlineLvl w:val="3"/>
        <w:rPr>
          <w:rFonts w:ascii="Times New Roman" w:hAnsi="Times New Roman"/>
          <w:sz w:val="21"/>
          <w:szCs w:val="21"/>
        </w:rPr>
      </w:pPr>
      <w:r>
        <w:rPr>
          <w:rFonts w:hint="eastAsia" w:cs="宋体"/>
          <w:sz w:val="21"/>
          <w:szCs w:val="21"/>
        </w:rPr>
        <w:t>仪器设备发生故障不能正常使用，检验室应报设备管理员办理报批手续，技术负责人批准后停用。</w:t>
      </w:r>
    </w:p>
    <w:p>
      <w:pPr>
        <w:pStyle w:val="3"/>
        <w:numPr>
          <w:ilvl w:val="3"/>
          <w:numId w:val="2"/>
        </w:numPr>
        <w:spacing w:beforeAutospacing="0" w:afterAutospacing="0"/>
        <w:ind w:left="0" w:firstLine="0"/>
        <w:jc w:val="both"/>
        <w:outlineLvl w:val="3"/>
        <w:rPr>
          <w:rFonts w:ascii="Times New Roman" w:hAnsi="Times New Roman"/>
          <w:sz w:val="21"/>
          <w:szCs w:val="21"/>
        </w:rPr>
      </w:pPr>
      <w:r>
        <w:rPr>
          <w:rFonts w:hint="eastAsia" w:cs="宋体"/>
          <w:sz w:val="21"/>
          <w:szCs w:val="21"/>
        </w:rPr>
        <w:t>经维修、检定、校准的局部或全部指标不能恢复原指标的仪器设备，由设备管理员报技术负责人批准后可降级使用。</w:t>
      </w:r>
    </w:p>
    <w:tbl>
      <w:tblPr>
        <w:tblStyle w:val="4"/>
        <w:tblpPr w:leftFromText="180" w:rightFromText="180" w:vertAnchor="text" w:horzAnchor="page" w:tblpX="1807" w:tblpY="29"/>
        <w:tblOverlap w:val="never"/>
        <w:tblW w:w="9401" w:type="dxa"/>
        <w:tblInd w:w="0" w:type="dxa"/>
        <w:tblBorders>
          <w:top w:val="threeDEmboss" w:color="auto" w:sz="18" w:space="0"/>
          <w:left w:val="none" w:color="auto" w:sz="0" w:space="0"/>
          <w:bottom w:val="threeDEmboss"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66"/>
        <w:gridCol w:w="2452"/>
        <w:gridCol w:w="2249"/>
        <w:gridCol w:w="3134"/>
      </w:tblGrid>
      <w:tr>
        <w:tblPrEx>
          <w:tblBorders>
            <w:top w:val="threeDEmboss" w:color="auto" w:sz="18" w:space="0"/>
            <w:left w:val="none" w:color="auto" w:sz="0" w:space="0"/>
            <w:bottom w:val="threeDEmboss"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018" w:type="dxa"/>
            <w:gridSpan w:val="2"/>
            <w:vMerge w:val="restart"/>
            <w:tcBorders>
              <w:tl2br w:val="nil"/>
              <w:tr2bl w:val="nil"/>
            </w:tcBorders>
            <w:vAlign w:val="center"/>
          </w:tcPr>
          <w:p>
            <w:pPr>
              <w:pStyle w:val="6"/>
              <w:widowControl w:val="0"/>
              <w:ind w:firstLine="420"/>
              <w:jc w:val="center"/>
              <w:rPr>
                <w:rFonts w:ascii="黑体" w:hAnsi="黑体" w:eastAsia="黑体" w:cs="黑体"/>
                <w:szCs w:val="21"/>
              </w:rPr>
            </w:pPr>
            <w:r>
              <w:rPr>
                <w:rFonts w:hint="eastAsia" w:ascii="黑体" w:hAnsi="黑体" w:eastAsia="黑体" w:cs="黑体"/>
                <w:szCs w:val="21"/>
              </w:rPr>
              <w:t>仪器设备（含软件）和标准物质管理程序</w:t>
            </w:r>
          </w:p>
        </w:tc>
        <w:tc>
          <w:tcPr>
            <w:tcW w:w="2249" w:type="dxa"/>
            <w:tcBorders>
              <w:tl2br w:val="nil"/>
              <w:tr2bl w:val="nil"/>
            </w:tcBorders>
            <w:vAlign w:val="center"/>
          </w:tcPr>
          <w:p>
            <w:pPr>
              <w:pStyle w:val="2"/>
              <w:pBdr>
                <w:bottom w:val="none" w:color="auto" w:sz="0" w:space="0"/>
              </w:pBdr>
              <w:tabs>
                <w:tab w:val="center" w:pos="4153"/>
                <w:tab w:val="right" w:pos="8306"/>
              </w:tabs>
              <w:rPr>
                <w:rFonts w:hint="default" w:hAnsi="黑体"/>
                <w:sz w:val="21"/>
                <w:szCs w:val="21"/>
              </w:rPr>
            </w:pPr>
            <w:r>
              <w:rPr>
                <w:rFonts w:hAnsi="黑体" w:cs="黑体"/>
                <w:sz w:val="21"/>
                <w:szCs w:val="21"/>
              </w:rPr>
              <w:t>页  数</w:t>
            </w:r>
          </w:p>
        </w:tc>
        <w:tc>
          <w:tcPr>
            <w:tcW w:w="3134" w:type="dxa"/>
            <w:tcBorders>
              <w:tl2br w:val="nil"/>
              <w:tr2bl w:val="nil"/>
            </w:tcBorders>
            <w:vAlign w:val="center"/>
          </w:tcPr>
          <w:p>
            <w:pPr>
              <w:pStyle w:val="2"/>
              <w:pBdr>
                <w:bottom w:val="none" w:color="auto" w:sz="0" w:space="0"/>
              </w:pBdr>
              <w:tabs>
                <w:tab w:val="center" w:pos="4153"/>
                <w:tab w:val="right" w:pos="8306"/>
              </w:tabs>
              <w:rPr>
                <w:rFonts w:hint="default" w:hAnsi="黑体"/>
                <w:sz w:val="21"/>
                <w:szCs w:val="21"/>
              </w:rPr>
            </w:pPr>
            <w:r>
              <w:rPr>
                <w:rFonts w:hAnsi="黑体" w:cs="黑体"/>
                <w:sz w:val="21"/>
                <w:szCs w:val="21"/>
              </w:rPr>
              <w:t xml:space="preserve">第7 页  共 </w:t>
            </w:r>
            <w:r>
              <w:rPr>
                <w:rFonts w:hint="eastAsia" w:hAnsi="黑体" w:cs="黑体"/>
                <w:sz w:val="21"/>
                <w:szCs w:val="21"/>
                <w:lang w:val="en-US" w:eastAsia="zh-CN"/>
              </w:rPr>
              <w:t>8</w:t>
            </w:r>
            <w:r>
              <w:rPr>
                <w:rFonts w:hAnsi="黑体" w:cs="黑体"/>
                <w:sz w:val="21"/>
                <w:szCs w:val="21"/>
              </w:rPr>
              <w:t xml:space="preserve"> 页</w:t>
            </w:r>
          </w:p>
        </w:tc>
      </w:tr>
      <w:tr>
        <w:tblPrEx>
          <w:tblBorders>
            <w:top w:val="threeDEmboss" w:color="auto" w:sz="18" w:space="0"/>
            <w:left w:val="none" w:color="auto" w:sz="0" w:space="0"/>
            <w:bottom w:val="threeDEmboss"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018" w:type="dxa"/>
            <w:gridSpan w:val="2"/>
            <w:vMerge w:val="continue"/>
            <w:tcBorders>
              <w:tl2br w:val="nil"/>
              <w:tr2bl w:val="nil"/>
            </w:tcBorders>
          </w:tcPr>
          <w:p>
            <w:pPr>
              <w:pStyle w:val="6"/>
              <w:widowControl w:val="0"/>
              <w:ind w:firstLine="420"/>
              <w:rPr>
                <w:rFonts w:ascii="黑体" w:hAnsi="黑体" w:eastAsia="黑体" w:cs="黑体"/>
                <w:szCs w:val="21"/>
              </w:rPr>
            </w:pPr>
          </w:p>
        </w:tc>
        <w:tc>
          <w:tcPr>
            <w:tcW w:w="2249" w:type="dxa"/>
            <w:tcBorders>
              <w:tl2br w:val="nil"/>
              <w:tr2bl w:val="nil"/>
            </w:tcBorders>
            <w:vAlign w:val="center"/>
          </w:tcPr>
          <w:p>
            <w:pPr>
              <w:pStyle w:val="2"/>
              <w:pBdr>
                <w:bottom w:val="none" w:color="auto" w:sz="0" w:space="0"/>
              </w:pBdr>
              <w:tabs>
                <w:tab w:val="center" w:pos="4153"/>
                <w:tab w:val="right" w:pos="8306"/>
              </w:tabs>
              <w:rPr>
                <w:rFonts w:hint="default" w:hAnsi="黑体"/>
                <w:sz w:val="21"/>
                <w:szCs w:val="21"/>
              </w:rPr>
            </w:pPr>
            <w:r>
              <w:rPr>
                <w:rFonts w:hAnsi="黑体" w:cs="黑体"/>
                <w:sz w:val="21"/>
                <w:szCs w:val="21"/>
              </w:rPr>
              <w:t>修改号</w:t>
            </w:r>
          </w:p>
        </w:tc>
        <w:tc>
          <w:tcPr>
            <w:tcW w:w="3134" w:type="dxa"/>
            <w:tcBorders>
              <w:tl2br w:val="nil"/>
              <w:tr2bl w:val="nil"/>
            </w:tcBorders>
            <w:vAlign w:val="center"/>
          </w:tcPr>
          <w:p>
            <w:pPr>
              <w:pStyle w:val="2"/>
              <w:pBdr>
                <w:bottom w:val="none" w:color="auto" w:sz="0" w:space="0"/>
              </w:pBdr>
              <w:tabs>
                <w:tab w:val="center" w:pos="4153"/>
                <w:tab w:val="right" w:pos="8306"/>
              </w:tabs>
              <w:rPr>
                <w:rFonts w:hint="default" w:hAnsi="黑体"/>
                <w:sz w:val="21"/>
                <w:szCs w:val="21"/>
              </w:rPr>
            </w:pPr>
            <w:r>
              <w:rPr>
                <w:rFonts w:hAnsi="黑体" w:cs="黑体"/>
                <w:sz w:val="21"/>
                <w:szCs w:val="21"/>
              </w:rPr>
              <w:t>第2019版 第0次修订</w:t>
            </w:r>
          </w:p>
        </w:tc>
      </w:tr>
      <w:tr>
        <w:tblPrEx>
          <w:tblBorders>
            <w:top w:val="threeDEmboss" w:color="auto" w:sz="18" w:space="0"/>
            <w:left w:val="none" w:color="auto" w:sz="0" w:space="0"/>
            <w:bottom w:val="threeDEmboss"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66" w:type="dxa"/>
            <w:tcBorders>
              <w:tl2br w:val="nil"/>
              <w:tr2bl w:val="nil"/>
            </w:tcBorders>
          </w:tcPr>
          <w:p>
            <w:pPr>
              <w:pStyle w:val="6"/>
              <w:widowControl w:val="0"/>
              <w:ind w:firstLine="420"/>
              <w:rPr>
                <w:rFonts w:ascii="黑体" w:hAnsi="黑体" w:eastAsia="黑体" w:cs="黑体"/>
                <w:szCs w:val="21"/>
              </w:rPr>
            </w:pPr>
            <w:r>
              <w:rPr>
                <w:rFonts w:hint="eastAsia" w:ascii="黑体" w:hAnsi="黑体" w:eastAsia="黑体" w:cs="黑体"/>
                <w:szCs w:val="21"/>
              </w:rPr>
              <w:t>文件编号</w:t>
            </w:r>
          </w:p>
        </w:tc>
        <w:tc>
          <w:tcPr>
            <w:tcW w:w="2452" w:type="dxa"/>
            <w:tcBorders>
              <w:tl2br w:val="nil"/>
              <w:tr2bl w:val="nil"/>
            </w:tcBorders>
          </w:tcPr>
          <w:p>
            <w:pPr>
              <w:pStyle w:val="6"/>
              <w:widowControl w:val="0"/>
              <w:ind w:firstLine="420"/>
              <w:rPr>
                <w:rFonts w:ascii="黑体" w:hAnsi="黑体" w:eastAsia="黑体" w:cs="黑体"/>
                <w:szCs w:val="21"/>
              </w:rPr>
            </w:pPr>
            <w:r>
              <w:rPr>
                <w:rFonts w:hint="eastAsia" w:ascii="黑体" w:hAnsi="黑体" w:eastAsia="黑体" w:cs="黑体"/>
                <w:szCs w:val="21"/>
              </w:rPr>
              <w:t xml:space="preserve">HBLD/CX06-2019 </w:t>
            </w:r>
          </w:p>
        </w:tc>
        <w:tc>
          <w:tcPr>
            <w:tcW w:w="2249" w:type="dxa"/>
            <w:tcBorders>
              <w:tl2br w:val="nil"/>
              <w:tr2bl w:val="nil"/>
            </w:tcBorders>
            <w:vAlign w:val="center"/>
          </w:tcPr>
          <w:p>
            <w:pPr>
              <w:pStyle w:val="2"/>
              <w:pBdr>
                <w:bottom w:val="none" w:color="auto" w:sz="0" w:space="0"/>
              </w:pBdr>
              <w:tabs>
                <w:tab w:val="center" w:pos="4153"/>
                <w:tab w:val="right" w:pos="8306"/>
              </w:tabs>
              <w:rPr>
                <w:rFonts w:hint="default" w:hAnsi="黑体"/>
                <w:sz w:val="21"/>
                <w:szCs w:val="21"/>
              </w:rPr>
            </w:pPr>
            <w:r>
              <w:rPr>
                <w:rFonts w:hAnsi="黑体" w:cs="黑体"/>
                <w:sz w:val="21"/>
                <w:szCs w:val="21"/>
              </w:rPr>
              <w:t>执行日期</w:t>
            </w:r>
          </w:p>
        </w:tc>
        <w:tc>
          <w:tcPr>
            <w:tcW w:w="3134" w:type="dxa"/>
            <w:tcBorders>
              <w:tl2br w:val="nil"/>
              <w:tr2bl w:val="nil"/>
            </w:tcBorders>
            <w:vAlign w:val="center"/>
          </w:tcPr>
          <w:p>
            <w:pPr>
              <w:pStyle w:val="2"/>
              <w:pBdr>
                <w:bottom w:val="none" w:color="auto" w:sz="0" w:space="0"/>
              </w:pBdr>
              <w:tabs>
                <w:tab w:val="center" w:pos="4153"/>
                <w:tab w:val="right" w:pos="8306"/>
              </w:tabs>
              <w:rPr>
                <w:rFonts w:hint="default" w:hAnsi="黑体"/>
                <w:sz w:val="21"/>
                <w:szCs w:val="21"/>
              </w:rPr>
            </w:pPr>
            <w:r>
              <w:rPr>
                <w:rFonts w:hAnsi="黑体" w:cs="黑体"/>
                <w:sz w:val="21"/>
                <w:szCs w:val="21"/>
              </w:rPr>
              <w:t>2019年1月1日</w:t>
            </w:r>
          </w:p>
        </w:tc>
      </w:tr>
    </w:tbl>
    <w:p>
      <w:pPr>
        <w:pStyle w:val="3"/>
        <w:numPr>
          <w:ilvl w:val="3"/>
          <w:numId w:val="2"/>
        </w:numPr>
        <w:spacing w:beforeAutospacing="0" w:afterAutospacing="0"/>
        <w:ind w:left="0" w:firstLine="0"/>
        <w:jc w:val="both"/>
        <w:outlineLvl w:val="3"/>
        <w:rPr>
          <w:rFonts w:ascii="Times New Roman" w:hAnsi="Times New Roman"/>
          <w:sz w:val="21"/>
          <w:szCs w:val="21"/>
        </w:rPr>
      </w:pPr>
      <w:r>
        <w:rPr>
          <w:rFonts w:hint="eastAsia" w:cs="宋体"/>
          <w:sz w:val="21"/>
          <w:szCs w:val="21"/>
        </w:rPr>
        <w:t>检验室提出仪器设备报废的申请，填写《仪器设备停用、降级与报废申请表》；一般仪器设备由技术负责人批准；主要仪器设备需组织技术委员会鉴定后，由技术负责人审定，总经理批准，设备管理员和综合办公室办理仪器设备报废手续。</w:t>
      </w:r>
    </w:p>
    <w:p>
      <w:pPr>
        <w:pStyle w:val="3"/>
        <w:keepNext w:val="0"/>
        <w:keepLines w:val="0"/>
        <w:pageBreakBefore w:val="0"/>
        <w:widowControl/>
        <w:numPr>
          <w:ilvl w:val="2"/>
          <w:numId w:val="2"/>
        </w:numPr>
        <w:kinsoku/>
        <w:wordWrap/>
        <w:overflowPunct/>
        <w:topLinePunct w:val="0"/>
        <w:autoSpaceDE/>
        <w:autoSpaceDN/>
        <w:bidi w:val="0"/>
        <w:adjustRightInd/>
        <w:snapToGrid/>
        <w:spacing w:beforeAutospacing="0" w:afterAutospacing="0"/>
        <w:ind w:left="0" w:firstLine="0"/>
        <w:jc w:val="both"/>
        <w:textAlignment w:val="auto"/>
        <w:outlineLvl w:val="2"/>
        <w:rPr>
          <w:rFonts w:ascii="Times New Roman" w:hAnsi="Times New Roman"/>
          <w:sz w:val="21"/>
          <w:szCs w:val="21"/>
        </w:rPr>
      </w:pPr>
      <w:r>
        <w:rPr>
          <w:rFonts w:hint="eastAsia" w:cs="宋体"/>
          <w:sz w:val="21"/>
          <w:szCs w:val="21"/>
        </w:rPr>
        <w:t>监督检查</w:t>
      </w:r>
    </w:p>
    <w:p>
      <w:pPr>
        <w:pStyle w:val="3"/>
        <w:numPr>
          <w:ilvl w:val="3"/>
          <w:numId w:val="2"/>
        </w:numPr>
        <w:spacing w:beforeAutospacing="0" w:afterAutospacing="0"/>
        <w:ind w:left="0" w:firstLine="0"/>
        <w:jc w:val="both"/>
        <w:outlineLvl w:val="3"/>
        <w:rPr>
          <w:rFonts w:ascii="Times New Roman" w:hAnsi="Times New Roman"/>
          <w:sz w:val="21"/>
          <w:szCs w:val="21"/>
        </w:rPr>
      </w:pPr>
      <w:r>
        <w:rPr>
          <w:rFonts w:hint="eastAsia" w:cs="宋体"/>
          <w:sz w:val="21"/>
          <w:szCs w:val="21"/>
        </w:rPr>
        <w:t>监督检查方式，分为二级检查：即</w:t>
      </w:r>
      <w:r>
        <w:rPr>
          <w:rFonts w:ascii="Times New Roman" w:hAnsi="Times New Roman"/>
          <w:sz w:val="21"/>
          <w:szCs w:val="21"/>
        </w:rPr>
        <w:t>a)</w:t>
      </w:r>
      <w:r>
        <w:rPr>
          <w:rFonts w:hint="eastAsia" w:cs="宋体"/>
          <w:sz w:val="21"/>
          <w:szCs w:val="21"/>
        </w:rPr>
        <w:t>检验室检查。</w:t>
      </w:r>
      <w:r>
        <w:rPr>
          <w:rFonts w:ascii="Times New Roman" w:hAnsi="Times New Roman"/>
          <w:sz w:val="21"/>
          <w:szCs w:val="21"/>
        </w:rPr>
        <w:t>b)</w:t>
      </w:r>
      <w:r>
        <w:rPr>
          <w:rFonts w:hint="eastAsia" w:cs="宋体"/>
          <w:sz w:val="21"/>
          <w:szCs w:val="21"/>
        </w:rPr>
        <w:t>综合办公室监督检查。</w:t>
      </w:r>
    </w:p>
    <w:p>
      <w:pPr>
        <w:pStyle w:val="3"/>
        <w:numPr>
          <w:ilvl w:val="3"/>
          <w:numId w:val="2"/>
        </w:numPr>
        <w:spacing w:beforeAutospacing="0" w:afterAutospacing="0"/>
        <w:ind w:left="0" w:firstLine="0"/>
        <w:jc w:val="both"/>
        <w:outlineLvl w:val="3"/>
        <w:rPr>
          <w:rFonts w:ascii="Times New Roman" w:hAnsi="Times New Roman"/>
          <w:sz w:val="21"/>
          <w:szCs w:val="21"/>
        </w:rPr>
      </w:pPr>
      <w:r>
        <w:rPr>
          <w:rFonts w:hint="eastAsia" w:cs="宋体"/>
          <w:sz w:val="21"/>
          <w:szCs w:val="21"/>
        </w:rPr>
        <w:t>检验室负责人负责定期、不定期的对本部门仪器设备进行检查，发现问题及时整改。</w:t>
      </w:r>
    </w:p>
    <w:p>
      <w:pPr>
        <w:ind w:firstLine="420" w:firstLineChars="200"/>
        <w:rPr>
          <w:rFonts w:ascii="黑体" w:hAnsi="宋体" w:eastAsia="黑体" w:cs="黑体"/>
          <w:color w:val="000000"/>
          <w:szCs w:val="21"/>
        </w:rPr>
      </w:pPr>
      <w:r>
        <w:rPr>
          <w:rFonts w:hint="eastAsia" w:ascii="宋体" w:hAnsi="宋体" w:eastAsia="宋体" w:cs="宋体"/>
          <w:szCs w:val="21"/>
        </w:rPr>
        <w:t>其主要</w:t>
      </w:r>
      <w:r>
        <w:rPr>
          <w:rFonts w:hint="eastAsia" w:ascii="宋体" w:hAnsi="宋体" w:eastAsia="宋体" w:cs="宋体"/>
          <w:color w:val="000000"/>
          <w:szCs w:val="21"/>
        </w:rPr>
        <w:t>检查内容为：</w:t>
      </w:r>
    </w:p>
    <w:p>
      <w:pPr>
        <w:ind w:firstLine="420" w:firstLineChars="200"/>
        <w:rPr>
          <w:rFonts w:ascii="黑体" w:hAnsi="宋体" w:eastAsia="黑体" w:cs="黑体"/>
          <w:color w:val="000000"/>
          <w:szCs w:val="21"/>
        </w:rPr>
      </w:pPr>
      <w:r>
        <w:rPr>
          <w:rFonts w:hint="eastAsia" w:ascii="黑体" w:hAnsi="宋体" w:eastAsia="黑体" w:cs="黑体"/>
          <w:color w:val="000000"/>
          <w:szCs w:val="21"/>
        </w:rPr>
        <w:t>a)</w:t>
      </w:r>
      <w:r>
        <w:rPr>
          <w:rFonts w:hint="eastAsia" w:ascii="宋体" w:hAnsi="宋体" w:eastAsia="宋体" w:cs="宋体"/>
          <w:color w:val="000000"/>
          <w:szCs w:val="21"/>
        </w:rPr>
        <w:t>设备状况包括设备附件的完整、完好情况；</w:t>
      </w:r>
    </w:p>
    <w:p>
      <w:pPr>
        <w:ind w:firstLine="420" w:firstLineChars="200"/>
        <w:rPr>
          <w:rFonts w:ascii="黑体" w:hAnsi="宋体" w:eastAsia="黑体" w:cs="黑体"/>
          <w:color w:val="000000"/>
          <w:szCs w:val="21"/>
        </w:rPr>
      </w:pPr>
      <w:r>
        <w:rPr>
          <w:rFonts w:hint="eastAsia" w:ascii="黑体" w:hAnsi="宋体" w:eastAsia="黑体" w:cs="黑体"/>
          <w:color w:val="000000"/>
          <w:szCs w:val="21"/>
        </w:rPr>
        <w:t>b)</w:t>
      </w:r>
      <w:r>
        <w:rPr>
          <w:rFonts w:hint="eastAsia" w:ascii="宋体" w:hAnsi="宋体" w:eastAsia="宋体" w:cs="宋体"/>
          <w:color w:val="000000"/>
          <w:szCs w:val="21"/>
        </w:rPr>
        <w:t>是否进行了期间核查（需要的）；</w:t>
      </w:r>
    </w:p>
    <w:p>
      <w:pPr>
        <w:ind w:firstLine="420" w:firstLineChars="200"/>
        <w:rPr>
          <w:rFonts w:ascii="黑体" w:hAnsi="宋体" w:eastAsia="黑体" w:cs="黑体"/>
          <w:color w:val="000000"/>
          <w:szCs w:val="21"/>
        </w:rPr>
      </w:pPr>
      <w:r>
        <w:rPr>
          <w:rFonts w:hint="eastAsia" w:ascii="黑体" w:hAnsi="宋体" w:eastAsia="黑体" w:cs="黑体"/>
          <w:color w:val="000000"/>
          <w:szCs w:val="21"/>
        </w:rPr>
        <w:t>c)</w:t>
      </w:r>
      <w:r>
        <w:rPr>
          <w:rFonts w:hint="eastAsia" w:ascii="宋体" w:hAnsi="宋体" w:eastAsia="宋体" w:cs="宋体"/>
          <w:color w:val="000000"/>
          <w:szCs w:val="21"/>
        </w:rPr>
        <w:t>设备使用环境；</w:t>
      </w:r>
    </w:p>
    <w:p>
      <w:pPr>
        <w:ind w:firstLine="420" w:firstLineChars="200"/>
        <w:rPr>
          <w:rFonts w:ascii="黑体" w:hAnsi="宋体" w:eastAsia="黑体" w:cs="黑体"/>
          <w:color w:val="000000"/>
          <w:szCs w:val="21"/>
        </w:rPr>
      </w:pPr>
      <w:r>
        <w:rPr>
          <w:rFonts w:hint="eastAsia" w:ascii="黑体" w:hAnsi="宋体" w:eastAsia="黑体" w:cs="黑体"/>
          <w:color w:val="000000"/>
          <w:szCs w:val="21"/>
        </w:rPr>
        <w:t>d)</w:t>
      </w:r>
      <w:r>
        <w:rPr>
          <w:rFonts w:hint="eastAsia" w:ascii="宋体" w:hAnsi="宋体" w:eastAsia="宋体" w:cs="宋体"/>
          <w:color w:val="000000"/>
          <w:szCs w:val="21"/>
        </w:rPr>
        <w:t>维护保养情况；</w:t>
      </w:r>
    </w:p>
    <w:p>
      <w:pPr>
        <w:ind w:firstLine="420" w:firstLineChars="200"/>
        <w:rPr>
          <w:rFonts w:ascii="黑体" w:hAnsi="宋体" w:eastAsia="黑体" w:cs="黑体"/>
          <w:color w:val="000000"/>
          <w:szCs w:val="21"/>
        </w:rPr>
      </w:pPr>
      <w:r>
        <w:rPr>
          <w:rFonts w:hint="eastAsia" w:ascii="黑体" w:hAnsi="宋体" w:eastAsia="黑体" w:cs="黑体"/>
          <w:color w:val="000000"/>
          <w:szCs w:val="21"/>
        </w:rPr>
        <w:t>e)</w:t>
      </w:r>
      <w:r>
        <w:rPr>
          <w:rFonts w:hint="eastAsia" w:ascii="宋体" w:hAnsi="宋体" w:eastAsia="宋体" w:cs="宋体"/>
          <w:color w:val="000000"/>
          <w:szCs w:val="21"/>
        </w:rPr>
        <w:t>使用记录；</w:t>
      </w:r>
    </w:p>
    <w:p>
      <w:pPr>
        <w:ind w:firstLine="420" w:firstLineChars="200"/>
        <w:rPr>
          <w:rFonts w:ascii="黑体" w:hAnsi="宋体" w:eastAsia="黑体" w:cs="黑体"/>
          <w:color w:val="000000"/>
          <w:szCs w:val="21"/>
        </w:rPr>
      </w:pPr>
      <w:r>
        <w:rPr>
          <w:rFonts w:hint="eastAsia" w:ascii="黑体" w:hAnsi="宋体" w:eastAsia="黑体" w:cs="黑体"/>
          <w:color w:val="000000"/>
          <w:szCs w:val="21"/>
        </w:rPr>
        <w:t>f)</w:t>
      </w:r>
      <w:r>
        <w:rPr>
          <w:rFonts w:hint="eastAsia" w:ascii="宋体" w:hAnsi="宋体" w:eastAsia="宋体" w:cs="宋体"/>
          <w:color w:val="000000"/>
          <w:szCs w:val="21"/>
        </w:rPr>
        <w:t>维护保养记录、维修记录等。</w:t>
      </w:r>
    </w:p>
    <w:p>
      <w:pPr>
        <w:pStyle w:val="3"/>
        <w:numPr>
          <w:ilvl w:val="3"/>
          <w:numId w:val="2"/>
        </w:numPr>
        <w:spacing w:beforeAutospacing="0" w:afterAutospacing="0"/>
        <w:ind w:left="0" w:firstLine="0"/>
        <w:jc w:val="both"/>
        <w:outlineLvl w:val="3"/>
        <w:rPr>
          <w:rFonts w:ascii="Times New Roman" w:hAnsi="Times New Roman" w:eastAsia="黑体"/>
          <w:sz w:val="21"/>
          <w:szCs w:val="21"/>
        </w:rPr>
      </w:pPr>
      <w:r>
        <w:rPr>
          <w:rFonts w:hint="eastAsia" w:cs="宋体"/>
          <w:sz w:val="21"/>
          <w:szCs w:val="21"/>
        </w:rPr>
        <w:t>综合办公室组织的监督检查，按照计划要求的时间进度检查完成情况，发现问题及时组织整改。</w:t>
      </w:r>
    </w:p>
    <w:p>
      <w:pPr>
        <w:pStyle w:val="3"/>
        <w:keepNext w:val="0"/>
        <w:keepLines w:val="0"/>
        <w:pageBreakBefore w:val="0"/>
        <w:widowControl/>
        <w:numPr>
          <w:ilvl w:val="2"/>
          <w:numId w:val="2"/>
        </w:numPr>
        <w:kinsoku/>
        <w:wordWrap/>
        <w:overflowPunct/>
        <w:topLinePunct w:val="0"/>
        <w:autoSpaceDE/>
        <w:autoSpaceDN/>
        <w:bidi w:val="0"/>
        <w:adjustRightInd/>
        <w:snapToGrid/>
        <w:spacing w:beforeAutospacing="0" w:afterAutospacing="0"/>
        <w:ind w:left="0" w:firstLine="0"/>
        <w:jc w:val="both"/>
        <w:textAlignment w:val="auto"/>
        <w:outlineLvl w:val="2"/>
        <w:rPr>
          <w:rFonts w:hint="eastAsia" w:cs="宋体"/>
          <w:sz w:val="21"/>
          <w:szCs w:val="21"/>
        </w:rPr>
      </w:pPr>
      <w:r>
        <w:rPr>
          <w:rFonts w:hint="eastAsia" w:cs="宋体"/>
          <w:sz w:val="21"/>
          <w:szCs w:val="21"/>
        </w:rPr>
        <w:t>标准物质和标准溶液</w:t>
      </w:r>
    </w:p>
    <w:p>
      <w:pPr>
        <w:pStyle w:val="3"/>
        <w:numPr>
          <w:ilvl w:val="3"/>
          <w:numId w:val="2"/>
        </w:numPr>
        <w:spacing w:beforeAutospacing="0" w:afterAutospacing="0"/>
        <w:ind w:left="0" w:firstLine="0"/>
        <w:jc w:val="both"/>
        <w:outlineLvl w:val="3"/>
        <w:rPr>
          <w:rFonts w:ascii="Times New Roman" w:hAnsi="Times New Roman"/>
          <w:sz w:val="21"/>
          <w:szCs w:val="21"/>
        </w:rPr>
      </w:pPr>
      <w:r>
        <w:rPr>
          <w:rFonts w:hint="eastAsia" w:cs="宋体"/>
          <w:sz w:val="21"/>
          <w:szCs w:val="21"/>
        </w:rPr>
        <w:t>标准物质应按计量器具管理、使用、建立标准物质一览表。</w:t>
      </w:r>
    </w:p>
    <w:p>
      <w:pPr>
        <w:pStyle w:val="3"/>
        <w:numPr>
          <w:ilvl w:val="3"/>
          <w:numId w:val="2"/>
        </w:numPr>
        <w:spacing w:beforeAutospacing="0" w:afterAutospacing="0"/>
        <w:ind w:left="0" w:firstLine="0"/>
        <w:jc w:val="both"/>
        <w:outlineLvl w:val="3"/>
        <w:rPr>
          <w:rFonts w:ascii="Times New Roman" w:hAnsi="Times New Roman"/>
          <w:sz w:val="21"/>
          <w:szCs w:val="21"/>
        </w:rPr>
      </w:pPr>
      <w:r>
        <w:rPr>
          <w:rFonts w:hint="eastAsia" w:cs="宋体"/>
          <w:sz w:val="21"/>
          <w:szCs w:val="21"/>
        </w:rPr>
        <w:t>标准物质、标准溶液标识管理按《测量溯源性控制程序》执行。</w:t>
      </w:r>
    </w:p>
    <w:p>
      <w:pPr>
        <w:pStyle w:val="3"/>
        <w:numPr>
          <w:ilvl w:val="3"/>
          <w:numId w:val="2"/>
        </w:numPr>
        <w:spacing w:beforeAutospacing="0" w:afterAutospacing="0"/>
        <w:ind w:left="0" w:firstLine="0"/>
        <w:jc w:val="both"/>
        <w:outlineLvl w:val="3"/>
        <w:rPr>
          <w:rFonts w:ascii="Times New Roman" w:hAnsi="Times New Roman"/>
          <w:sz w:val="21"/>
          <w:szCs w:val="21"/>
        </w:rPr>
      </w:pPr>
      <w:r>
        <w:rPr>
          <w:rFonts w:hint="eastAsia" w:cs="宋体"/>
          <w:sz w:val="21"/>
          <w:szCs w:val="21"/>
        </w:rPr>
        <w:t>标准物质的采购按本程序</w:t>
      </w:r>
      <w:r>
        <w:rPr>
          <w:rFonts w:ascii="Times New Roman" w:hAnsi="Times New Roman"/>
          <w:sz w:val="21"/>
          <w:szCs w:val="21"/>
        </w:rPr>
        <w:t>3.2</w:t>
      </w:r>
      <w:r>
        <w:rPr>
          <w:rFonts w:hint="eastAsia" w:cs="宋体"/>
          <w:sz w:val="21"/>
          <w:szCs w:val="21"/>
        </w:rPr>
        <w:t>执行。应采购、使用国家有关部门正式批准的有证标准物质，以便能溯源到国际单位制（</w:t>
      </w:r>
      <w:r>
        <w:rPr>
          <w:rFonts w:ascii="Times New Roman" w:hAnsi="Times New Roman"/>
          <w:sz w:val="21"/>
          <w:szCs w:val="21"/>
        </w:rPr>
        <w:t>SI</w:t>
      </w:r>
      <w:r>
        <w:rPr>
          <w:rFonts w:hint="eastAsia" w:cs="宋体"/>
          <w:sz w:val="21"/>
          <w:szCs w:val="21"/>
        </w:rPr>
        <w:t>）、国家基准、国家计量基准或国家标准物质基准。</w:t>
      </w:r>
    </w:p>
    <w:p>
      <w:pPr>
        <w:pStyle w:val="3"/>
        <w:numPr>
          <w:ilvl w:val="3"/>
          <w:numId w:val="2"/>
        </w:numPr>
        <w:spacing w:beforeAutospacing="0" w:afterAutospacing="0"/>
        <w:ind w:left="0" w:firstLine="0"/>
        <w:jc w:val="both"/>
        <w:outlineLvl w:val="3"/>
        <w:rPr>
          <w:rFonts w:ascii="Times New Roman" w:hAnsi="Times New Roman"/>
          <w:sz w:val="21"/>
          <w:szCs w:val="21"/>
        </w:rPr>
      </w:pPr>
      <w:r>
        <w:rPr>
          <w:rFonts w:hint="eastAsia" w:cs="宋体"/>
          <w:sz w:val="21"/>
          <w:szCs w:val="21"/>
        </w:rPr>
        <w:t>用未经正式批准的标准物质，必须经过分析、测试、比对证明性能符合要求，经技术负责人批准后方可使用。分析、测试和比对记录应归档保存。</w:t>
      </w:r>
    </w:p>
    <w:p>
      <w:pPr>
        <w:pStyle w:val="3"/>
        <w:numPr>
          <w:ilvl w:val="3"/>
          <w:numId w:val="2"/>
        </w:numPr>
        <w:spacing w:beforeAutospacing="0" w:afterAutospacing="0"/>
        <w:ind w:left="0" w:firstLine="0"/>
        <w:jc w:val="both"/>
        <w:outlineLvl w:val="3"/>
        <w:rPr>
          <w:rFonts w:cs="宋体"/>
          <w:sz w:val="21"/>
          <w:szCs w:val="21"/>
        </w:rPr>
      </w:pPr>
      <w:r>
        <w:rPr>
          <w:rFonts w:hint="eastAsia" w:cs="宋体"/>
          <w:sz w:val="21"/>
          <w:szCs w:val="21"/>
        </w:rPr>
        <w:t>标准溶液的量值必须按标准规定的方法测试、核对、比对确定，以确保可以溯源到国际单位制（</w:t>
      </w:r>
      <w:r>
        <w:rPr>
          <w:rFonts w:ascii="Times New Roman" w:hAnsi="Times New Roman"/>
          <w:sz w:val="21"/>
          <w:szCs w:val="21"/>
        </w:rPr>
        <w:t>SI</w:t>
      </w:r>
      <w:r>
        <w:rPr>
          <w:rFonts w:hint="eastAsia" w:cs="宋体"/>
          <w:sz w:val="21"/>
          <w:szCs w:val="21"/>
        </w:rPr>
        <w:t>单位）。确定量值时，能溯源到国家基准的要溯源到国家基准，无法溯源到国家基准的，要有按标准测试的数据证明满足要求时，方能使用。标准溶液的配置、定值（标定、复标定）、保管、供应按下述规定执行。</w:t>
      </w:r>
    </w:p>
    <w:p>
      <w:pPr>
        <w:pStyle w:val="7"/>
        <w:numPr>
          <w:ilvl w:val="4"/>
          <w:numId w:val="2"/>
        </w:numPr>
        <w:ind w:hanging="945" w:hangingChars="450"/>
        <w:rPr>
          <w:rFonts w:hint="default" w:ascii="Times New Roman" w:hAnsi="Times New Roman"/>
        </w:rPr>
      </w:pPr>
      <w:r>
        <w:rPr>
          <w:rFonts w:ascii="宋体" w:eastAsia="宋体" w:cs="宋体"/>
        </w:rPr>
        <w:t>标准溶液统一由专人配置与标定。标定合格，检验室主任在溶液标定记录批准签字后使用。</w:t>
      </w:r>
    </w:p>
    <w:p>
      <w:pPr>
        <w:pStyle w:val="7"/>
        <w:numPr>
          <w:ilvl w:val="4"/>
          <w:numId w:val="2"/>
        </w:numPr>
        <w:ind w:hanging="945" w:hangingChars="450"/>
        <w:rPr>
          <w:rFonts w:hint="default" w:ascii="Times New Roman" w:hAnsi="Times New Roman" w:eastAsia="宋体"/>
        </w:rPr>
      </w:pPr>
      <w:r>
        <w:rPr>
          <w:rFonts w:ascii="宋体" w:eastAsia="宋体" w:cs="宋体"/>
        </w:rPr>
        <w:t>标准溶液必须用基准试剂或符合质量要求的纯物质</w:t>
      </w:r>
      <w:r>
        <w:rPr>
          <w:rFonts w:hint="default" w:ascii="Times New Roman" w:hAnsi="Times New Roman" w:eastAsia="宋体"/>
        </w:rPr>
        <w:t>(</w:t>
      </w:r>
      <w:r>
        <w:rPr>
          <w:rFonts w:ascii="宋体" w:eastAsia="宋体" w:cs="宋体"/>
        </w:rPr>
        <w:t>如光谱纯物质</w:t>
      </w:r>
      <w:r>
        <w:rPr>
          <w:rFonts w:hint="default" w:ascii="Times New Roman" w:hAnsi="Times New Roman" w:eastAsia="宋体"/>
        </w:rPr>
        <w:t>)</w:t>
      </w:r>
      <w:r>
        <w:rPr>
          <w:rFonts w:ascii="宋体" w:eastAsia="宋体" w:cs="宋体"/>
        </w:rPr>
        <w:t>进行配制，用纯物质进行配制</w:t>
      </w:r>
    </w:p>
    <w:p>
      <w:pPr>
        <w:pStyle w:val="7"/>
        <w:numPr>
          <w:ilvl w:val="0"/>
          <w:numId w:val="0"/>
        </w:numPr>
        <w:tabs>
          <w:tab w:val="left" w:pos="945"/>
        </w:tabs>
        <w:rPr>
          <w:rFonts w:hint="default" w:ascii="Times New Roman" w:hAnsi="Times New Roman" w:eastAsia="宋体"/>
        </w:rPr>
      </w:pPr>
      <w:r>
        <w:rPr>
          <w:rFonts w:ascii="宋体" w:eastAsia="宋体" w:cs="宋体"/>
        </w:rPr>
        <w:t>时，必须用基准试剂进行校正或用标准物质验证以溯源。</w:t>
      </w:r>
    </w:p>
    <w:p>
      <w:pPr>
        <w:pStyle w:val="7"/>
        <w:numPr>
          <w:ilvl w:val="4"/>
          <w:numId w:val="2"/>
        </w:numPr>
        <w:ind w:hanging="945" w:hangingChars="450"/>
        <w:rPr>
          <w:rFonts w:hint="default" w:ascii="宋体" w:eastAsia="宋体" w:cs="宋体"/>
        </w:rPr>
      </w:pPr>
      <w:r>
        <w:rPr>
          <w:rFonts w:ascii="宋体" w:eastAsia="宋体" w:cs="宋体"/>
        </w:rPr>
        <w:t>标准溶液的标定、复标定由专人进行。同时必须由其他检验员对标准溶液配置过程中的操作﹑</w:t>
      </w:r>
    </w:p>
    <w:p>
      <w:pPr>
        <w:pStyle w:val="7"/>
        <w:numPr>
          <w:ilvl w:val="0"/>
          <w:numId w:val="0"/>
        </w:numPr>
        <w:tabs>
          <w:tab w:val="left" w:pos="945"/>
        </w:tabs>
        <w:rPr>
          <w:rFonts w:hint="default" w:ascii="宋体" w:eastAsia="宋体" w:cs="宋体"/>
        </w:rPr>
      </w:pPr>
      <w:r>
        <w:rPr>
          <w:rFonts w:ascii="宋体" w:eastAsia="宋体" w:cs="宋体"/>
        </w:rPr>
        <w:t>计算等进行校核。</w:t>
      </w:r>
    </w:p>
    <w:p>
      <w:pPr>
        <w:pStyle w:val="7"/>
        <w:numPr>
          <w:ilvl w:val="4"/>
          <w:numId w:val="2"/>
        </w:numPr>
        <w:ind w:hanging="945" w:hangingChars="450"/>
        <w:rPr>
          <w:rFonts w:hint="default" w:ascii="宋体" w:eastAsia="宋体" w:cs="宋体"/>
        </w:rPr>
      </w:pPr>
      <w:r>
        <w:rPr>
          <w:rFonts w:ascii="宋体" w:eastAsia="宋体" w:cs="宋体"/>
        </w:rPr>
        <w:t>标准溶液的配制、标定、复标定都必须有原始记录，内容包括：标准溶液名称、瓶号、浓度和</w:t>
      </w:r>
    </w:p>
    <w:p>
      <w:pPr>
        <w:pStyle w:val="7"/>
        <w:numPr>
          <w:ilvl w:val="0"/>
          <w:numId w:val="0"/>
        </w:numPr>
        <w:tabs>
          <w:tab w:val="left" w:pos="945"/>
        </w:tabs>
        <w:rPr>
          <w:rFonts w:hint="default" w:ascii="宋体" w:eastAsia="宋体" w:cs="宋体"/>
        </w:rPr>
      </w:pPr>
      <w:r>
        <w:rPr>
          <w:rFonts w:ascii="宋体" w:eastAsia="宋体" w:cs="宋体"/>
        </w:rPr>
        <w:t>换算浓度、室温、介质、试剂生产厂家、配制时间、标定时间、复标定时间、有效期或失效日期、配制人、标定人、复标定人、校核人、批准人、批准日期等项。</w:t>
      </w:r>
    </w:p>
    <w:p>
      <w:pPr>
        <w:pStyle w:val="7"/>
        <w:numPr>
          <w:ilvl w:val="4"/>
          <w:numId w:val="2"/>
        </w:numPr>
        <w:ind w:hanging="945" w:hangingChars="450"/>
        <w:rPr>
          <w:rFonts w:hint="default" w:ascii="宋体" w:eastAsia="宋体" w:cs="宋体"/>
        </w:rPr>
      </w:pPr>
      <w:r>
        <w:rPr>
          <w:rFonts w:ascii="宋体" w:eastAsia="宋体" w:cs="宋体"/>
        </w:rPr>
        <w:t>标准溶液应存放在干燥、避光、通风、整洁的环境中，要有序整齐。易受阳光影响的标准溶液，</w:t>
      </w:r>
    </w:p>
    <w:p>
      <w:pPr>
        <w:pStyle w:val="7"/>
        <w:numPr>
          <w:ilvl w:val="0"/>
          <w:numId w:val="0"/>
        </w:numPr>
        <w:tabs>
          <w:tab w:val="left" w:pos="945"/>
        </w:tabs>
        <w:rPr>
          <w:rFonts w:ascii="宋体" w:eastAsia="宋体" w:cs="宋体"/>
        </w:rPr>
      </w:pPr>
      <w:r>
        <w:rPr>
          <w:rFonts w:ascii="宋体" w:eastAsia="宋体" w:cs="宋体"/>
        </w:rPr>
        <w:t>应放在棕色瓶中，存放在暗处保存。</w:t>
      </w:r>
    </w:p>
    <w:tbl>
      <w:tblPr>
        <w:tblStyle w:val="4"/>
        <w:tblpPr w:leftFromText="180" w:rightFromText="180" w:vertAnchor="text" w:horzAnchor="page" w:tblpX="1807" w:tblpY="29"/>
        <w:tblOverlap w:val="never"/>
        <w:tblW w:w="9401" w:type="dxa"/>
        <w:tblInd w:w="0" w:type="dxa"/>
        <w:tblBorders>
          <w:top w:val="threeDEmboss" w:color="auto" w:sz="18" w:space="0"/>
          <w:left w:val="none" w:color="auto" w:sz="0" w:space="0"/>
          <w:bottom w:val="threeDEmboss"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66"/>
        <w:gridCol w:w="2452"/>
        <w:gridCol w:w="2249"/>
        <w:gridCol w:w="3134"/>
      </w:tblGrid>
      <w:tr>
        <w:tblPrEx>
          <w:tblBorders>
            <w:top w:val="threeDEmboss" w:color="auto" w:sz="18" w:space="0"/>
            <w:left w:val="none" w:color="auto" w:sz="0" w:space="0"/>
            <w:bottom w:val="threeDEmboss"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018" w:type="dxa"/>
            <w:gridSpan w:val="2"/>
            <w:vMerge w:val="restart"/>
            <w:tcBorders>
              <w:tl2br w:val="nil"/>
              <w:tr2bl w:val="nil"/>
            </w:tcBorders>
            <w:vAlign w:val="center"/>
          </w:tcPr>
          <w:p>
            <w:pPr>
              <w:pStyle w:val="6"/>
              <w:widowControl w:val="0"/>
              <w:ind w:firstLine="420"/>
              <w:jc w:val="center"/>
              <w:rPr>
                <w:rFonts w:ascii="黑体" w:hAnsi="黑体" w:eastAsia="黑体" w:cs="黑体"/>
                <w:szCs w:val="21"/>
              </w:rPr>
            </w:pPr>
            <w:r>
              <w:rPr>
                <w:rFonts w:hint="eastAsia" w:ascii="黑体" w:hAnsi="黑体" w:eastAsia="黑体" w:cs="黑体"/>
                <w:szCs w:val="21"/>
              </w:rPr>
              <w:t>仪器设备（含软件）和标准物质管理程序</w:t>
            </w:r>
          </w:p>
        </w:tc>
        <w:tc>
          <w:tcPr>
            <w:tcW w:w="2249" w:type="dxa"/>
            <w:tcBorders>
              <w:tl2br w:val="nil"/>
              <w:tr2bl w:val="nil"/>
            </w:tcBorders>
            <w:vAlign w:val="center"/>
          </w:tcPr>
          <w:p>
            <w:pPr>
              <w:pStyle w:val="2"/>
              <w:pBdr>
                <w:bottom w:val="none" w:color="auto" w:sz="0" w:space="0"/>
              </w:pBdr>
              <w:tabs>
                <w:tab w:val="center" w:pos="4153"/>
                <w:tab w:val="right" w:pos="8306"/>
              </w:tabs>
              <w:rPr>
                <w:rFonts w:hint="default" w:hAnsi="黑体"/>
                <w:sz w:val="21"/>
                <w:szCs w:val="21"/>
              </w:rPr>
            </w:pPr>
            <w:r>
              <w:rPr>
                <w:rFonts w:hAnsi="黑体" w:cs="黑体"/>
                <w:sz w:val="21"/>
                <w:szCs w:val="21"/>
              </w:rPr>
              <w:t>页  数</w:t>
            </w:r>
          </w:p>
        </w:tc>
        <w:tc>
          <w:tcPr>
            <w:tcW w:w="3134" w:type="dxa"/>
            <w:tcBorders>
              <w:tl2br w:val="nil"/>
              <w:tr2bl w:val="nil"/>
            </w:tcBorders>
            <w:vAlign w:val="center"/>
          </w:tcPr>
          <w:p>
            <w:pPr>
              <w:pStyle w:val="2"/>
              <w:pBdr>
                <w:bottom w:val="none" w:color="auto" w:sz="0" w:space="0"/>
              </w:pBdr>
              <w:tabs>
                <w:tab w:val="center" w:pos="4153"/>
                <w:tab w:val="right" w:pos="8306"/>
              </w:tabs>
              <w:rPr>
                <w:rFonts w:hint="default" w:hAnsi="黑体"/>
                <w:sz w:val="21"/>
                <w:szCs w:val="21"/>
              </w:rPr>
            </w:pPr>
            <w:r>
              <w:rPr>
                <w:rFonts w:hAnsi="黑体" w:cs="黑体"/>
                <w:sz w:val="21"/>
                <w:szCs w:val="21"/>
              </w:rPr>
              <w:t>第</w:t>
            </w:r>
            <w:r>
              <w:rPr>
                <w:rFonts w:hint="eastAsia" w:hAnsi="黑体" w:cs="黑体"/>
                <w:sz w:val="21"/>
                <w:szCs w:val="21"/>
                <w:lang w:val="en-US" w:eastAsia="zh-CN"/>
              </w:rPr>
              <w:t>8</w:t>
            </w:r>
            <w:r>
              <w:rPr>
                <w:rFonts w:hAnsi="黑体" w:cs="黑体"/>
                <w:sz w:val="21"/>
                <w:szCs w:val="21"/>
              </w:rPr>
              <w:t xml:space="preserve"> 页  共 </w:t>
            </w:r>
            <w:r>
              <w:rPr>
                <w:rFonts w:hint="eastAsia" w:hAnsi="黑体" w:cs="黑体"/>
                <w:sz w:val="21"/>
                <w:szCs w:val="21"/>
                <w:lang w:val="en-US" w:eastAsia="zh-CN"/>
              </w:rPr>
              <w:t>8</w:t>
            </w:r>
            <w:bookmarkStart w:id="0" w:name="_GoBack"/>
            <w:bookmarkEnd w:id="0"/>
            <w:r>
              <w:rPr>
                <w:rFonts w:hAnsi="黑体" w:cs="黑体"/>
                <w:sz w:val="21"/>
                <w:szCs w:val="21"/>
              </w:rPr>
              <w:t xml:space="preserve"> 页</w:t>
            </w:r>
          </w:p>
        </w:tc>
      </w:tr>
      <w:tr>
        <w:tblPrEx>
          <w:tblBorders>
            <w:top w:val="threeDEmboss" w:color="auto" w:sz="18" w:space="0"/>
            <w:left w:val="none" w:color="auto" w:sz="0" w:space="0"/>
            <w:bottom w:val="threeDEmboss"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018" w:type="dxa"/>
            <w:gridSpan w:val="2"/>
            <w:vMerge w:val="continue"/>
            <w:tcBorders>
              <w:tl2br w:val="nil"/>
              <w:tr2bl w:val="nil"/>
            </w:tcBorders>
          </w:tcPr>
          <w:p>
            <w:pPr>
              <w:pStyle w:val="6"/>
              <w:widowControl w:val="0"/>
              <w:ind w:firstLine="420"/>
              <w:rPr>
                <w:rFonts w:ascii="黑体" w:hAnsi="黑体" w:eastAsia="黑体" w:cs="黑体"/>
                <w:szCs w:val="21"/>
              </w:rPr>
            </w:pPr>
          </w:p>
        </w:tc>
        <w:tc>
          <w:tcPr>
            <w:tcW w:w="2249" w:type="dxa"/>
            <w:tcBorders>
              <w:tl2br w:val="nil"/>
              <w:tr2bl w:val="nil"/>
            </w:tcBorders>
            <w:vAlign w:val="center"/>
          </w:tcPr>
          <w:p>
            <w:pPr>
              <w:pStyle w:val="2"/>
              <w:pBdr>
                <w:bottom w:val="none" w:color="auto" w:sz="0" w:space="0"/>
              </w:pBdr>
              <w:tabs>
                <w:tab w:val="center" w:pos="4153"/>
                <w:tab w:val="right" w:pos="8306"/>
              </w:tabs>
              <w:rPr>
                <w:rFonts w:hint="default" w:hAnsi="黑体"/>
                <w:sz w:val="21"/>
                <w:szCs w:val="21"/>
              </w:rPr>
            </w:pPr>
            <w:r>
              <w:rPr>
                <w:rFonts w:hAnsi="黑体" w:cs="黑体"/>
                <w:sz w:val="21"/>
                <w:szCs w:val="21"/>
              </w:rPr>
              <w:t>修改号</w:t>
            </w:r>
          </w:p>
        </w:tc>
        <w:tc>
          <w:tcPr>
            <w:tcW w:w="3134" w:type="dxa"/>
            <w:tcBorders>
              <w:tl2br w:val="nil"/>
              <w:tr2bl w:val="nil"/>
            </w:tcBorders>
            <w:vAlign w:val="center"/>
          </w:tcPr>
          <w:p>
            <w:pPr>
              <w:pStyle w:val="2"/>
              <w:pBdr>
                <w:bottom w:val="none" w:color="auto" w:sz="0" w:space="0"/>
              </w:pBdr>
              <w:tabs>
                <w:tab w:val="center" w:pos="4153"/>
                <w:tab w:val="right" w:pos="8306"/>
              </w:tabs>
              <w:rPr>
                <w:rFonts w:hint="default" w:hAnsi="黑体"/>
                <w:sz w:val="21"/>
                <w:szCs w:val="21"/>
              </w:rPr>
            </w:pPr>
            <w:r>
              <w:rPr>
                <w:rFonts w:hAnsi="黑体" w:cs="黑体"/>
                <w:sz w:val="21"/>
                <w:szCs w:val="21"/>
              </w:rPr>
              <w:t>第2019版 第0次修订</w:t>
            </w:r>
          </w:p>
        </w:tc>
      </w:tr>
      <w:tr>
        <w:tblPrEx>
          <w:tblBorders>
            <w:top w:val="threeDEmboss" w:color="auto" w:sz="18" w:space="0"/>
            <w:left w:val="none" w:color="auto" w:sz="0" w:space="0"/>
            <w:bottom w:val="threeDEmboss"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66" w:type="dxa"/>
            <w:tcBorders>
              <w:tl2br w:val="nil"/>
              <w:tr2bl w:val="nil"/>
            </w:tcBorders>
          </w:tcPr>
          <w:p>
            <w:pPr>
              <w:pStyle w:val="6"/>
              <w:widowControl w:val="0"/>
              <w:ind w:firstLine="420"/>
              <w:rPr>
                <w:rFonts w:ascii="黑体" w:hAnsi="黑体" w:eastAsia="黑体" w:cs="黑体"/>
                <w:szCs w:val="21"/>
              </w:rPr>
            </w:pPr>
            <w:r>
              <w:rPr>
                <w:rFonts w:hint="eastAsia" w:ascii="黑体" w:hAnsi="黑体" w:eastAsia="黑体" w:cs="黑体"/>
                <w:szCs w:val="21"/>
              </w:rPr>
              <w:t>文件编号</w:t>
            </w:r>
          </w:p>
        </w:tc>
        <w:tc>
          <w:tcPr>
            <w:tcW w:w="2452" w:type="dxa"/>
            <w:tcBorders>
              <w:tl2br w:val="nil"/>
              <w:tr2bl w:val="nil"/>
            </w:tcBorders>
          </w:tcPr>
          <w:p>
            <w:pPr>
              <w:pStyle w:val="6"/>
              <w:widowControl w:val="0"/>
              <w:ind w:firstLine="420"/>
              <w:rPr>
                <w:rFonts w:ascii="黑体" w:hAnsi="黑体" w:eastAsia="黑体" w:cs="黑体"/>
                <w:szCs w:val="21"/>
              </w:rPr>
            </w:pPr>
            <w:r>
              <w:rPr>
                <w:rFonts w:hint="eastAsia" w:ascii="黑体" w:hAnsi="黑体" w:eastAsia="黑体" w:cs="黑体"/>
                <w:szCs w:val="21"/>
              </w:rPr>
              <w:t xml:space="preserve">HBLD/CX06-2019 </w:t>
            </w:r>
          </w:p>
        </w:tc>
        <w:tc>
          <w:tcPr>
            <w:tcW w:w="2249" w:type="dxa"/>
            <w:tcBorders>
              <w:tl2br w:val="nil"/>
              <w:tr2bl w:val="nil"/>
            </w:tcBorders>
            <w:vAlign w:val="center"/>
          </w:tcPr>
          <w:p>
            <w:pPr>
              <w:pStyle w:val="2"/>
              <w:pBdr>
                <w:bottom w:val="none" w:color="auto" w:sz="0" w:space="0"/>
              </w:pBdr>
              <w:tabs>
                <w:tab w:val="center" w:pos="4153"/>
                <w:tab w:val="right" w:pos="8306"/>
              </w:tabs>
              <w:rPr>
                <w:rFonts w:hint="default" w:hAnsi="黑体"/>
                <w:sz w:val="21"/>
                <w:szCs w:val="21"/>
              </w:rPr>
            </w:pPr>
            <w:r>
              <w:rPr>
                <w:rFonts w:hAnsi="黑体" w:cs="黑体"/>
                <w:sz w:val="21"/>
                <w:szCs w:val="21"/>
              </w:rPr>
              <w:t>执行日期</w:t>
            </w:r>
          </w:p>
        </w:tc>
        <w:tc>
          <w:tcPr>
            <w:tcW w:w="3134" w:type="dxa"/>
            <w:tcBorders>
              <w:tl2br w:val="nil"/>
              <w:tr2bl w:val="nil"/>
            </w:tcBorders>
            <w:vAlign w:val="center"/>
          </w:tcPr>
          <w:p>
            <w:pPr>
              <w:pStyle w:val="2"/>
              <w:pBdr>
                <w:bottom w:val="none" w:color="auto" w:sz="0" w:space="0"/>
              </w:pBdr>
              <w:tabs>
                <w:tab w:val="center" w:pos="4153"/>
                <w:tab w:val="right" w:pos="8306"/>
              </w:tabs>
              <w:rPr>
                <w:rFonts w:hint="default" w:hAnsi="黑体"/>
                <w:sz w:val="21"/>
                <w:szCs w:val="21"/>
              </w:rPr>
            </w:pPr>
            <w:r>
              <w:rPr>
                <w:rFonts w:hAnsi="黑体" w:cs="黑体"/>
                <w:sz w:val="21"/>
                <w:szCs w:val="21"/>
              </w:rPr>
              <w:t>2019年1月1日</w:t>
            </w:r>
          </w:p>
        </w:tc>
      </w:tr>
    </w:tbl>
    <w:p>
      <w:pPr>
        <w:pStyle w:val="7"/>
        <w:numPr>
          <w:ilvl w:val="4"/>
          <w:numId w:val="2"/>
        </w:numPr>
        <w:ind w:hanging="945" w:hangingChars="450"/>
        <w:rPr>
          <w:rFonts w:hint="default" w:ascii="宋体" w:eastAsia="宋体" w:cs="宋体"/>
        </w:rPr>
      </w:pPr>
      <w:r>
        <w:rPr>
          <w:rFonts w:ascii="宋体" w:eastAsia="宋体" w:cs="宋体"/>
        </w:rPr>
        <w:t>标准溶液的标签要写清标准溶液的名称﹑浓度﹑介质﹑瓶号﹑配制时间、配制人、标定人标定</w:t>
      </w:r>
    </w:p>
    <w:p>
      <w:pPr>
        <w:pStyle w:val="7"/>
        <w:numPr>
          <w:ilvl w:val="0"/>
          <w:numId w:val="0"/>
        </w:numPr>
        <w:tabs>
          <w:tab w:val="left" w:pos="945"/>
        </w:tabs>
        <w:rPr>
          <w:rFonts w:hint="default" w:ascii="宋体" w:eastAsia="宋体" w:cs="宋体"/>
        </w:rPr>
      </w:pPr>
      <w:r>
        <w:rPr>
          <w:rFonts w:ascii="宋体" w:eastAsia="宋体" w:cs="宋体"/>
        </w:rPr>
        <w:t>日期、复标定人、复标定日期、有效期或失效日期、批准人，不得有涂改和重叠书写的现象。</w:t>
      </w:r>
    </w:p>
    <w:p>
      <w:pPr>
        <w:pStyle w:val="7"/>
        <w:numPr>
          <w:ilvl w:val="4"/>
          <w:numId w:val="2"/>
        </w:numPr>
        <w:ind w:hanging="945" w:hangingChars="450"/>
        <w:rPr>
          <w:rFonts w:hint="default" w:ascii="Times New Roman" w:hAnsi="Times New Roman" w:eastAsia="宋体"/>
          <w:color w:val="FF0000"/>
        </w:rPr>
      </w:pPr>
      <w:r>
        <w:rPr>
          <w:rFonts w:ascii="宋体" w:eastAsia="宋体" w:cs="宋体"/>
          <w:color w:val="000000" w:themeColor="text1"/>
          <w14:textFill>
            <w14:solidFill>
              <w14:schemeClr w14:val="tx1"/>
            </w14:solidFill>
          </w14:textFill>
        </w:rPr>
        <w:t>用质量技术监督部门统一制作的溶液标签时，标签内容从其规定。本公司制作的溶液标签采用</w:t>
      </w:r>
    </w:p>
    <w:p>
      <w:pPr>
        <w:pStyle w:val="7"/>
        <w:numPr>
          <w:ilvl w:val="0"/>
          <w:numId w:val="0"/>
        </w:numPr>
        <w:tabs>
          <w:tab w:val="left" w:pos="945"/>
        </w:tabs>
        <w:rPr>
          <w:rFonts w:hint="default" w:ascii="Times New Roman" w:hAnsi="Times New Roman" w:eastAsia="宋体"/>
          <w:color w:val="FF0000"/>
        </w:rPr>
      </w:pPr>
      <w:r>
        <w:rPr>
          <w:rFonts w:ascii="宋体" w:eastAsia="宋体" w:cs="宋体"/>
          <w:color w:val="000000" w:themeColor="text1"/>
          <w14:textFill>
            <w14:solidFill>
              <w14:schemeClr w14:val="tx1"/>
            </w14:solidFill>
          </w14:textFill>
        </w:rPr>
        <w:t>白色不干胶纸，书写内容后直接贴于瓶上</w:t>
      </w:r>
      <w:r>
        <w:rPr>
          <w:rFonts w:ascii="宋体" w:eastAsia="宋体" w:cs="宋体"/>
        </w:rPr>
        <w:t>明显位置。</w:t>
      </w:r>
    </w:p>
    <w:p>
      <w:pPr>
        <w:pStyle w:val="7"/>
        <w:numPr>
          <w:ilvl w:val="4"/>
          <w:numId w:val="2"/>
        </w:numPr>
        <w:ind w:hanging="945" w:hangingChars="450"/>
        <w:rPr>
          <w:rFonts w:hint="default" w:ascii="Times New Roman" w:hAnsi="Times New Roman" w:eastAsia="宋体"/>
        </w:rPr>
      </w:pPr>
      <w:r>
        <w:rPr>
          <w:rFonts w:ascii="宋体" w:eastAsia="宋体" w:cs="宋体"/>
        </w:rPr>
        <w:t>新配制的标准溶液必须进行标准物质比对，证明无误后方可使用。</w:t>
      </w:r>
    </w:p>
    <w:p>
      <w:pPr>
        <w:pStyle w:val="7"/>
        <w:numPr>
          <w:ilvl w:val="4"/>
          <w:numId w:val="2"/>
        </w:numPr>
        <w:ind w:hanging="945" w:hangingChars="450"/>
        <w:rPr>
          <w:rFonts w:hint="default" w:ascii="Times New Roman" w:hAnsi="Times New Roman" w:eastAsia="宋体"/>
        </w:rPr>
      </w:pPr>
      <w:r>
        <w:rPr>
          <w:rFonts w:ascii="宋体" w:eastAsia="宋体" w:cs="宋体"/>
        </w:rPr>
        <w:t>标准溶液有效期一使般</w:t>
      </w:r>
      <w:r>
        <w:rPr>
          <w:rFonts w:ascii="宋体" w:eastAsia="宋体" w:cs="宋体"/>
          <w:color w:val="000000" w:themeColor="text1"/>
          <w14:textFill>
            <w14:solidFill>
              <w14:schemeClr w14:val="tx1"/>
            </w14:solidFill>
          </w14:textFill>
        </w:rPr>
        <w:t>为90天，</w:t>
      </w:r>
      <w:r>
        <w:rPr>
          <w:rFonts w:ascii="宋体" w:eastAsia="宋体" w:cs="宋体"/>
        </w:rPr>
        <w:t>标准溶液应在超过有效期后经复标定才能再次使用，并应及时</w:t>
      </w:r>
    </w:p>
    <w:p>
      <w:pPr>
        <w:pStyle w:val="7"/>
        <w:numPr>
          <w:ilvl w:val="0"/>
          <w:numId w:val="0"/>
        </w:numPr>
        <w:tabs>
          <w:tab w:val="left" w:pos="945"/>
        </w:tabs>
        <w:rPr>
          <w:rFonts w:hint="default" w:ascii="Times New Roman" w:hAnsi="Times New Roman" w:eastAsia="宋体"/>
        </w:rPr>
      </w:pPr>
      <w:r>
        <w:rPr>
          <w:rFonts w:ascii="宋体" w:eastAsia="宋体" w:cs="宋体"/>
        </w:rPr>
        <w:t>更换标签。超过有效期未用完的标准溶液未经复标定不可直接使用。必须控制标准溶液一次配制、供应总量，避免不必要的浪费。</w:t>
      </w:r>
    </w:p>
    <w:p>
      <w:pPr>
        <w:pStyle w:val="3"/>
        <w:numPr>
          <w:ilvl w:val="1"/>
          <w:numId w:val="2"/>
        </w:numPr>
        <w:spacing w:beforeAutospacing="0" w:afterAutospacing="0"/>
        <w:ind w:left="0" w:firstLine="0"/>
        <w:jc w:val="both"/>
        <w:outlineLvl w:val="1"/>
        <w:rPr>
          <w:rFonts w:ascii="Times New Roman" w:hAnsi="Times New Roman"/>
          <w:b/>
          <w:sz w:val="21"/>
          <w:szCs w:val="21"/>
        </w:rPr>
      </w:pPr>
      <w:r>
        <w:rPr>
          <w:rFonts w:hint="eastAsia" w:cs="宋体"/>
          <w:b/>
          <w:sz w:val="21"/>
          <w:szCs w:val="21"/>
        </w:rPr>
        <w:t>报告和记录表式</w:t>
      </w:r>
    </w:p>
    <w:p>
      <w:pPr>
        <w:pStyle w:val="3"/>
        <w:autoSpaceDE w:val="0"/>
        <w:autoSpaceDN w:val="0"/>
        <w:spacing w:beforeAutospacing="0" w:afterAutospacing="0"/>
        <w:ind w:firstLine="420" w:firstLineChars="200"/>
        <w:jc w:val="both"/>
        <w:rPr>
          <w:rFonts w:ascii="Times New Roman" w:hAnsi="Times New Roman"/>
          <w:sz w:val="21"/>
          <w:szCs w:val="21"/>
        </w:rPr>
      </w:pPr>
      <w:r>
        <w:rPr>
          <w:rFonts w:hint="eastAsia" w:cs="宋体"/>
          <w:sz w:val="21"/>
          <w:szCs w:val="21"/>
        </w:rPr>
        <w:t>仪器设备（含软件）和标准物质购置申请表</w:t>
      </w:r>
    </w:p>
    <w:p>
      <w:pPr>
        <w:pStyle w:val="3"/>
        <w:autoSpaceDE w:val="0"/>
        <w:autoSpaceDN w:val="0"/>
        <w:spacing w:beforeAutospacing="0" w:afterAutospacing="0"/>
        <w:ind w:firstLine="420" w:firstLineChars="200"/>
        <w:jc w:val="both"/>
        <w:rPr>
          <w:rFonts w:ascii="Times New Roman" w:hAnsi="Times New Roman"/>
          <w:sz w:val="21"/>
          <w:szCs w:val="21"/>
        </w:rPr>
      </w:pPr>
      <w:r>
        <w:rPr>
          <w:rFonts w:hint="eastAsia" w:cs="宋体"/>
          <w:sz w:val="21"/>
          <w:szCs w:val="21"/>
        </w:rPr>
        <w:t>仪器设备维修审批登记表</w:t>
      </w:r>
    </w:p>
    <w:p>
      <w:pPr>
        <w:pStyle w:val="3"/>
        <w:autoSpaceDE w:val="0"/>
        <w:autoSpaceDN w:val="0"/>
        <w:spacing w:beforeAutospacing="0" w:afterAutospacing="0"/>
        <w:ind w:firstLine="420" w:firstLineChars="200"/>
        <w:jc w:val="both"/>
        <w:rPr>
          <w:rFonts w:ascii="Times New Roman" w:hAnsi="Times New Roman"/>
          <w:sz w:val="21"/>
          <w:szCs w:val="21"/>
        </w:rPr>
      </w:pPr>
      <w:r>
        <w:rPr>
          <w:rFonts w:hint="eastAsia" w:cs="宋体"/>
          <w:sz w:val="21"/>
          <w:szCs w:val="21"/>
        </w:rPr>
        <w:t>仪器设备履历表</w:t>
      </w:r>
    </w:p>
    <w:p>
      <w:pPr>
        <w:pStyle w:val="3"/>
        <w:autoSpaceDE w:val="0"/>
        <w:autoSpaceDN w:val="0"/>
        <w:spacing w:beforeAutospacing="0" w:afterAutospacing="0"/>
        <w:ind w:firstLine="420" w:firstLineChars="200"/>
        <w:jc w:val="both"/>
        <w:rPr>
          <w:rFonts w:ascii="Times New Roman" w:hAnsi="Times New Roman"/>
          <w:sz w:val="21"/>
          <w:szCs w:val="21"/>
        </w:rPr>
      </w:pPr>
      <w:r>
        <w:rPr>
          <w:rFonts w:hint="eastAsia" w:cs="宋体"/>
          <w:sz w:val="21"/>
          <w:szCs w:val="21"/>
        </w:rPr>
        <w:t>仪器设备验收登记表</w:t>
      </w:r>
    </w:p>
    <w:p>
      <w:pPr>
        <w:pStyle w:val="3"/>
        <w:autoSpaceDE w:val="0"/>
        <w:autoSpaceDN w:val="0"/>
        <w:spacing w:beforeAutospacing="0" w:afterAutospacing="0"/>
        <w:ind w:firstLine="420" w:firstLineChars="200"/>
        <w:jc w:val="both"/>
        <w:rPr>
          <w:rFonts w:ascii="Times New Roman" w:hAnsi="Times New Roman"/>
          <w:sz w:val="21"/>
          <w:szCs w:val="21"/>
        </w:rPr>
      </w:pPr>
      <w:r>
        <w:rPr>
          <w:rFonts w:hint="eastAsia" w:cs="宋体"/>
          <w:sz w:val="21"/>
          <w:szCs w:val="21"/>
        </w:rPr>
        <w:t>仪器设备停用、降级与报废申请表</w:t>
      </w:r>
    </w:p>
    <w:p>
      <w:pPr>
        <w:pStyle w:val="3"/>
        <w:autoSpaceDE w:val="0"/>
        <w:autoSpaceDN w:val="0"/>
        <w:spacing w:beforeAutospacing="0" w:afterAutospacing="0"/>
        <w:ind w:firstLine="420" w:firstLineChars="200"/>
        <w:jc w:val="both"/>
        <w:rPr>
          <w:rFonts w:ascii="Times New Roman" w:hAnsi="Times New Roman"/>
          <w:sz w:val="21"/>
          <w:szCs w:val="21"/>
        </w:rPr>
      </w:pPr>
      <w:r>
        <w:rPr>
          <w:rFonts w:hint="eastAsia" w:cs="宋体"/>
          <w:sz w:val="21"/>
          <w:szCs w:val="21"/>
        </w:rPr>
        <w:t>新仪器设备启用申请表</w:t>
      </w:r>
    </w:p>
    <w:p>
      <w:pPr>
        <w:pStyle w:val="3"/>
        <w:autoSpaceDE w:val="0"/>
        <w:autoSpaceDN w:val="0"/>
        <w:spacing w:beforeAutospacing="0" w:afterAutospacing="0"/>
        <w:ind w:firstLine="420" w:firstLineChars="200"/>
        <w:jc w:val="both"/>
        <w:rPr>
          <w:rFonts w:ascii="Times New Roman" w:hAnsi="Times New Roman"/>
          <w:sz w:val="21"/>
          <w:szCs w:val="21"/>
        </w:rPr>
      </w:pPr>
      <w:r>
        <w:rPr>
          <w:rFonts w:hint="eastAsia" w:cs="宋体"/>
          <w:sz w:val="21"/>
          <w:szCs w:val="21"/>
        </w:rPr>
        <w:t>仪器设备台账</w:t>
      </w:r>
    </w:p>
    <w:p>
      <w:pPr>
        <w:pStyle w:val="3"/>
        <w:autoSpaceDE w:val="0"/>
        <w:autoSpaceDN w:val="0"/>
        <w:spacing w:beforeAutospacing="0" w:afterAutospacing="0"/>
        <w:ind w:firstLine="420" w:firstLineChars="200"/>
        <w:jc w:val="both"/>
        <w:rPr>
          <w:rFonts w:ascii="Times New Roman" w:hAnsi="Times New Roman"/>
          <w:sz w:val="21"/>
          <w:szCs w:val="21"/>
        </w:rPr>
      </w:pPr>
      <w:r>
        <w:rPr>
          <w:rFonts w:hint="eastAsia" w:cs="宋体"/>
          <w:sz w:val="21"/>
          <w:szCs w:val="21"/>
        </w:rPr>
        <w:t>自制仪器设备验收审批表</w:t>
      </w:r>
    </w:p>
    <w:p>
      <w:pPr>
        <w:pStyle w:val="3"/>
        <w:autoSpaceDE w:val="0"/>
        <w:autoSpaceDN w:val="0"/>
        <w:spacing w:beforeAutospacing="0" w:afterAutospacing="0"/>
        <w:ind w:firstLine="420" w:firstLineChars="200"/>
        <w:jc w:val="both"/>
        <w:rPr>
          <w:rFonts w:ascii="Times New Roman" w:hAnsi="Times New Roman"/>
          <w:sz w:val="21"/>
          <w:szCs w:val="21"/>
        </w:rPr>
      </w:pPr>
      <w:r>
        <w:rPr>
          <w:rFonts w:hint="eastAsia" w:cs="宋体"/>
          <w:sz w:val="21"/>
          <w:szCs w:val="21"/>
        </w:rPr>
        <w:t>仪器设备使用记录</w:t>
      </w:r>
    </w:p>
    <w:p>
      <w:pPr>
        <w:pStyle w:val="3"/>
        <w:autoSpaceDE w:val="0"/>
        <w:autoSpaceDN w:val="0"/>
        <w:spacing w:beforeAutospacing="0" w:afterAutospacing="0"/>
        <w:ind w:firstLine="420" w:firstLineChars="200"/>
        <w:jc w:val="both"/>
        <w:rPr>
          <w:rFonts w:ascii="Times New Roman" w:hAnsi="Times New Roman"/>
          <w:sz w:val="21"/>
          <w:szCs w:val="21"/>
        </w:rPr>
      </w:pPr>
      <w:r>
        <w:rPr>
          <w:rFonts w:hint="eastAsia" w:cs="宋体"/>
          <w:sz w:val="21"/>
          <w:szCs w:val="21"/>
        </w:rPr>
        <w:t>仪器设备维护保养记录</w:t>
      </w:r>
    </w:p>
    <w:p>
      <w:pPr>
        <w:pStyle w:val="3"/>
        <w:autoSpaceDE w:val="0"/>
        <w:autoSpaceDN w:val="0"/>
        <w:spacing w:beforeAutospacing="0" w:afterAutospacing="0"/>
        <w:ind w:firstLine="420" w:firstLineChars="200"/>
        <w:jc w:val="both"/>
        <w:rPr>
          <w:rFonts w:ascii="Times New Roman" w:hAnsi="Times New Roman"/>
          <w:sz w:val="21"/>
          <w:szCs w:val="21"/>
        </w:rPr>
      </w:pPr>
      <w:r>
        <w:rPr>
          <w:rFonts w:hint="eastAsia" w:cs="宋体"/>
          <w:sz w:val="21"/>
          <w:szCs w:val="21"/>
        </w:rPr>
        <w:t>仪器设备管理卡</w:t>
      </w:r>
    </w:p>
    <w:p>
      <w:pPr>
        <w:pStyle w:val="3"/>
        <w:numPr>
          <w:ilvl w:val="1"/>
          <w:numId w:val="2"/>
        </w:numPr>
        <w:spacing w:beforeAutospacing="0" w:afterAutospacing="0"/>
        <w:ind w:left="0" w:firstLine="0"/>
        <w:jc w:val="both"/>
        <w:outlineLvl w:val="1"/>
        <w:rPr>
          <w:rFonts w:ascii="Times New Roman" w:hAnsi="Times New Roman"/>
          <w:b/>
          <w:sz w:val="21"/>
          <w:szCs w:val="21"/>
        </w:rPr>
      </w:pPr>
      <w:r>
        <w:rPr>
          <w:rFonts w:hint="eastAsia" w:cs="宋体"/>
          <w:b/>
          <w:sz w:val="21"/>
          <w:szCs w:val="21"/>
        </w:rPr>
        <w:t>相关文件</w:t>
      </w:r>
    </w:p>
    <w:p>
      <w:pPr>
        <w:pStyle w:val="3"/>
        <w:autoSpaceDE w:val="0"/>
        <w:autoSpaceDN w:val="0"/>
        <w:spacing w:beforeAutospacing="0" w:afterAutospacing="0"/>
        <w:ind w:firstLine="420" w:firstLineChars="200"/>
        <w:jc w:val="both"/>
        <w:rPr>
          <w:rFonts w:ascii="Times New Roman" w:hAnsi="Times New Roman"/>
          <w:sz w:val="21"/>
          <w:szCs w:val="21"/>
        </w:rPr>
      </w:pPr>
      <w:r>
        <w:rPr>
          <w:rFonts w:hint="eastAsia" w:cs="宋体"/>
          <w:sz w:val="21"/>
          <w:szCs w:val="21"/>
        </w:rPr>
        <w:t>文件控制程序</w:t>
      </w:r>
    </w:p>
    <w:p>
      <w:pPr>
        <w:pStyle w:val="3"/>
        <w:autoSpaceDE w:val="0"/>
        <w:autoSpaceDN w:val="0"/>
        <w:spacing w:beforeAutospacing="0" w:afterAutospacing="0"/>
        <w:ind w:firstLine="420" w:firstLineChars="200"/>
        <w:jc w:val="both"/>
        <w:rPr>
          <w:rFonts w:ascii="Times New Roman" w:hAnsi="Times New Roman"/>
          <w:sz w:val="21"/>
          <w:szCs w:val="21"/>
        </w:rPr>
      </w:pPr>
      <w:r>
        <w:rPr>
          <w:rFonts w:hint="eastAsia" w:cs="宋体"/>
          <w:sz w:val="21"/>
          <w:szCs w:val="21"/>
        </w:rPr>
        <w:t>服务和供应品控制程序</w:t>
      </w:r>
    </w:p>
    <w:p>
      <w:pPr>
        <w:pStyle w:val="3"/>
        <w:autoSpaceDE w:val="0"/>
        <w:autoSpaceDN w:val="0"/>
        <w:spacing w:beforeAutospacing="0" w:afterAutospacing="0"/>
        <w:ind w:firstLine="420" w:firstLineChars="200"/>
        <w:jc w:val="both"/>
        <w:rPr>
          <w:rFonts w:ascii="Times New Roman" w:hAnsi="Times New Roman"/>
          <w:sz w:val="21"/>
          <w:szCs w:val="21"/>
        </w:rPr>
      </w:pPr>
      <w:r>
        <w:rPr>
          <w:rFonts w:hint="eastAsia" w:cs="宋体"/>
          <w:sz w:val="21"/>
          <w:szCs w:val="21"/>
        </w:rPr>
        <w:t>设施和环境控制程序</w:t>
      </w:r>
    </w:p>
    <w:p>
      <w:pPr>
        <w:pStyle w:val="3"/>
        <w:autoSpaceDE w:val="0"/>
        <w:autoSpaceDN w:val="0"/>
        <w:spacing w:beforeAutospacing="0" w:afterAutospacing="0"/>
        <w:ind w:firstLine="420" w:firstLineChars="200"/>
        <w:jc w:val="both"/>
        <w:rPr>
          <w:rFonts w:ascii="Times New Roman" w:hAnsi="Times New Roman"/>
          <w:sz w:val="21"/>
          <w:szCs w:val="21"/>
        </w:rPr>
      </w:pPr>
      <w:r>
        <w:rPr>
          <w:rFonts w:hint="eastAsia" w:cs="宋体"/>
          <w:sz w:val="21"/>
          <w:szCs w:val="21"/>
        </w:rPr>
        <w:t>检验方法和方法确认控制程序</w:t>
      </w:r>
    </w:p>
    <w:p>
      <w:pPr>
        <w:pStyle w:val="3"/>
        <w:autoSpaceDE w:val="0"/>
        <w:autoSpaceDN w:val="0"/>
        <w:spacing w:beforeAutospacing="0" w:afterAutospacing="0"/>
        <w:ind w:firstLine="420" w:firstLineChars="200"/>
        <w:jc w:val="both"/>
        <w:rPr>
          <w:rFonts w:ascii="Times New Roman" w:cs="宋体"/>
          <w:sz w:val="21"/>
          <w:szCs w:val="21"/>
        </w:rPr>
      </w:pPr>
      <w:r>
        <w:rPr>
          <w:rFonts w:hint="eastAsia" w:cs="宋体"/>
          <w:sz w:val="21"/>
          <w:szCs w:val="21"/>
        </w:rPr>
        <w:t>测量溯源性控制程序</w:t>
      </w:r>
    </w:p>
    <w:p>
      <w:pPr>
        <w:pStyle w:val="3"/>
        <w:autoSpaceDE w:val="0"/>
        <w:autoSpaceDN w:val="0"/>
        <w:spacing w:beforeAutospacing="0" w:afterAutospacing="0"/>
        <w:ind w:firstLine="420" w:firstLineChars="200"/>
        <w:jc w:val="both"/>
        <w:rPr>
          <w:rFonts w:ascii="Times New Roman" w:hAnsi="Times New Roman"/>
          <w:sz w:val="21"/>
          <w:szCs w:val="21"/>
        </w:rPr>
      </w:pPr>
      <w:r>
        <w:rPr>
          <w:rFonts w:hint="eastAsia" w:cs="宋体"/>
          <w:sz w:val="21"/>
          <w:szCs w:val="21"/>
        </w:rPr>
        <w:t>期间核查程序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DE878"/>
    <w:multiLevelType w:val="multilevel"/>
    <w:tmpl w:val="5A2DE878"/>
    <w:lvl w:ilvl="0" w:tentative="0">
      <w:start w:val="1"/>
      <w:numFmt w:val="none"/>
      <w:suff w:val="nothing"/>
      <w:lvlText w:val="%1"/>
      <w:lvlJc w:val="left"/>
      <w:pPr>
        <w:tabs>
          <w:tab w:val="left" w:pos="0"/>
        </w:tabs>
        <w:ind w:left="0" w:firstLine="0"/>
      </w:pPr>
      <w:rPr>
        <w:rFonts w:hint="default" w:ascii="Times New Roman" w:hAnsi="Times New Roman"/>
        <w:b/>
        <w:i w:val="0"/>
        <w:sz w:val="21"/>
      </w:rPr>
    </w:lvl>
    <w:lvl w:ilvl="1" w:tentative="0">
      <w:start w:val="1"/>
      <w:numFmt w:val="decimal"/>
      <w:pStyle w:val="10"/>
      <w:suff w:val="nothing"/>
      <w:lvlText w:val="%1%2　"/>
      <w:lvlJc w:val="left"/>
      <w:pPr>
        <w:tabs>
          <w:tab w:val="left" w:pos="0"/>
        </w:tabs>
        <w:ind w:left="0" w:firstLine="0"/>
      </w:pPr>
      <w:rPr>
        <w:rFonts w:hint="eastAsia" w:ascii="黑体" w:hAnsi="黑体" w:eastAsia="黑体"/>
        <w:b w:val="0"/>
        <w:i w:val="0"/>
        <w:sz w:val="21"/>
      </w:rPr>
    </w:lvl>
    <w:lvl w:ilvl="2" w:tentative="0">
      <w:start w:val="1"/>
      <w:numFmt w:val="decimal"/>
      <w:pStyle w:val="9"/>
      <w:suff w:val="nothing"/>
      <w:lvlText w:val="%1%2.%3　"/>
      <w:lvlJc w:val="left"/>
      <w:pPr>
        <w:tabs>
          <w:tab w:val="left" w:pos="0"/>
        </w:tabs>
        <w:ind w:left="0" w:firstLine="0"/>
      </w:pPr>
      <w:rPr>
        <w:rFonts w:hint="eastAsia" w:ascii="黑体" w:hAnsi="黑体" w:eastAsia="黑体"/>
        <w:b w:val="0"/>
        <w:i w:val="0"/>
        <w:sz w:val="21"/>
      </w:rPr>
    </w:lvl>
    <w:lvl w:ilvl="3" w:tentative="0">
      <w:start w:val="1"/>
      <w:numFmt w:val="decimal"/>
      <w:pStyle w:val="8"/>
      <w:suff w:val="nothing"/>
      <w:lvlText w:val="%1%2.%3.%4　"/>
      <w:lvlJc w:val="left"/>
      <w:pPr>
        <w:tabs>
          <w:tab w:val="left" w:pos="-204"/>
        </w:tabs>
        <w:ind w:left="426" w:firstLine="0"/>
      </w:pPr>
      <w:rPr>
        <w:rFonts w:hint="eastAsia" w:ascii="黑体" w:hAnsi="黑体" w:eastAsia="黑体"/>
        <w:b w:val="0"/>
        <w:i w:val="0"/>
        <w:sz w:val="21"/>
      </w:rPr>
    </w:lvl>
    <w:lvl w:ilvl="4" w:tentative="0">
      <w:start w:val="1"/>
      <w:numFmt w:val="decimal"/>
      <w:suff w:val="nothing"/>
      <w:lvlText w:val="%1%2.%3.%4.%5　"/>
      <w:lvlJc w:val="left"/>
      <w:pPr>
        <w:tabs>
          <w:tab w:val="left" w:pos="0"/>
        </w:tabs>
        <w:ind w:left="0" w:firstLine="0"/>
      </w:pPr>
      <w:rPr>
        <w:rFonts w:hint="eastAsia" w:ascii="黑体" w:hAnsi="黑体" w:eastAsia="黑体"/>
        <w:b w:val="0"/>
        <w:i w:val="0"/>
        <w:sz w:val="21"/>
      </w:rPr>
    </w:lvl>
    <w:lvl w:ilvl="5" w:tentative="0">
      <w:start w:val="1"/>
      <w:numFmt w:val="decimal"/>
      <w:suff w:val="nothing"/>
      <w:lvlText w:val="%1%2.%3.%4.%5.%6　"/>
      <w:lvlJc w:val="left"/>
      <w:pPr>
        <w:tabs>
          <w:tab w:val="left" w:pos="0"/>
        </w:tabs>
        <w:ind w:left="0" w:firstLine="0"/>
      </w:pPr>
      <w:rPr>
        <w:rFonts w:hint="eastAsia" w:ascii="黑体" w:hAnsi="黑体" w:eastAsia="黑体"/>
        <w:b w:val="0"/>
        <w:i w:val="0"/>
        <w:sz w:val="21"/>
      </w:rPr>
    </w:lvl>
    <w:lvl w:ilvl="6" w:tentative="0">
      <w:start w:val="1"/>
      <w:numFmt w:val="decimal"/>
      <w:suff w:val="nothing"/>
      <w:lvlText w:val="%1%2.%3.%4.%5.%6.%7　"/>
      <w:lvlJc w:val="left"/>
      <w:pPr>
        <w:tabs>
          <w:tab w:val="left" w:pos="0"/>
        </w:tabs>
        <w:ind w:left="0" w:firstLine="0"/>
      </w:pPr>
      <w:rPr>
        <w:rFonts w:hint="eastAsia" w:ascii="黑体" w:hAns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5A2DFDC6"/>
    <w:multiLevelType w:val="multilevel"/>
    <w:tmpl w:val="5A2DFDC6"/>
    <w:lvl w:ilvl="0" w:tentative="0">
      <w:start w:val="1"/>
      <w:numFmt w:val="none"/>
      <w:suff w:val="nothing"/>
      <w:lvlText w:val="%1"/>
      <w:lvlJc w:val="left"/>
      <w:pPr>
        <w:tabs>
          <w:tab w:val="left" w:pos="0"/>
        </w:tabs>
        <w:ind w:left="0" w:firstLine="0"/>
      </w:pPr>
      <w:rPr>
        <w:rFonts w:hint="default" w:ascii="Times New Roman" w:hAnsi="Times New Roman" w:cs="Times New Roman"/>
        <w:b/>
        <w:i w:val="0"/>
        <w:sz w:val="21"/>
        <w:szCs w:val="21"/>
      </w:rPr>
    </w:lvl>
    <w:lvl w:ilvl="1" w:tentative="0">
      <w:start w:val="1"/>
      <w:numFmt w:val="decimal"/>
      <w:suff w:val="nothing"/>
      <w:lvlText w:val="%1%2　"/>
      <w:lvlJc w:val="left"/>
      <w:pPr>
        <w:tabs>
          <w:tab w:val="left" w:pos="0"/>
        </w:tabs>
        <w:ind w:left="0" w:firstLine="0"/>
      </w:pPr>
      <w:rPr>
        <w:rFonts w:hint="eastAsia" w:ascii="黑体" w:hAnsi="宋体" w:eastAsia="黑体" w:cs="黑体"/>
        <w:b w:val="0"/>
        <w:i w:val="0"/>
        <w:sz w:val="21"/>
        <w:szCs w:val="21"/>
      </w:rPr>
    </w:lvl>
    <w:lvl w:ilvl="2" w:tentative="0">
      <w:start w:val="1"/>
      <w:numFmt w:val="decimal"/>
      <w:suff w:val="nothing"/>
      <w:lvlText w:val="%1%2.%3　"/>
      <w:lvlJc w:val="left"/>
      <w:pPr>
        <w:tabs>
          <w:tab w:val="left" w:pos="0"/>
        </w:tabs>
        <w:ind w:left="630" w:firstLine="0"/>
      </w:pPr>
      <w:rPr>
        <w:rFonts w:hint="eastAsia" w:ascii="黑体" w:hAnsi="宋体" w:eastAsia="黑体" w:cs="黑体"/>
        <w:b w:val="0"/>
        <w:i w:val="0"/>
        <w:sz w:val="21"/>
        <w:szCs w:val="21"/>
      </w:rPr>
    </w:lvl>
    <w:lvl w:ilvl="3" w:tentative="0">
      <w:start w:val="1"/>
      <w:numFmt w:val="decimal"/>
      <w:suff w:val="nothing"/>
      <w:lvlText w:val="%1%2.%3.%4　"/>
      <w:lvlJc w:val="left"/>
      <w:pPr>
        <w:tabs>
          <w:tab w:val="left" w:pos="-945"/>
        </w:tabs>
        <w:ind w:left="0" w:firstLine="0"/>
      </w:pPr>
      <w:rPr>
        <w:rFonts w:hint="eastAsia" w:ascii="黑体" w:hAnsi="宋体" w:eastAsia="黑体" w:cs="黑体"/>
        <w:b w:val="0"/>
        <w:i w:val="0"/>
        <w:sz w:val="21"/>
        <w:szCs w:val="21"/>
      </w:rPr>
    </w:lvl>
    <w:lvl w:ilvl="4" w:tentative="0">
      <w:start w:val="1"/>
      <w:numFmt w:val="decimal"/>
      <w:suff w:val="nothing"/>
      <w:lvlText w:val="%1%2.%3.%4.%5　"/>
      <w:lvlJc w:val="left"/>
      <w:pPr>
        <w:tabs>
          <w:tab w:val="left" w:pos="945"/>
        </w:tabs>
        <w:ind w:left="945" w:firstLine="0"/>
      </w:pPr>
      <w:rPr>
        <w:rFonts w:hint="eastAsia" w:ascii="黑体" w:hAnsi="宋体" w:eastAsia="黑体" w:cs="黑体"/>
        <w:b w:val="0"/>
        <w:i w:val="0"/>
        <w:color w:val="auto"/>
        <w:sz w:val="21"/>
        <w:szCs w:val="21"/>
      </w:rPr>
    </w:lvl>
    <w:lvl w:ilvl="5" w:tentative="0">
      <w:start w:val="1"/>
      <w:numFmt w:val="decimal"/>
      <w:suff w:val="nothing"/>
      <w:lvlText w:val="%1%2.%3.%4.%5.%6　"/>
      <w:lvlJc w:val="left"/>
      <w:pPr>
        <w:tabs>
          <w:tab w:val="left" w:pos="0"/>
        </w:tabs>
        <w:ind w:left="0" w:firstLine="0"/>
      </w:pPr>
      <w:rPr>
        <w:rFonts w:hint="eastAsia" w:ascii="黑体" w:hAnsi="宋体" w:eastAsia="黑体" w:cs="黑体"/>
        <w:b w:val="0"/>
        <w:i w:val="0"/>
        <w:sz w:val="21"/>
        <w:szCs w:val="21"/>
      </w:rPr>
    </w:lvl>
    <w:lvl w:ilvl="6" w:tentative="0">
      <w:start w:val="1"/>
      <w:numFmt w:val="decimal"/>
      <w:suff w:val="nothing"/>
      <w:lvlText w:val="%1%2.%3.%4.%5.%6.%7　"/>
      <w:lvlJc w:val="left"/>
      <w:pPr>
        <w:tabs>
          <w:tab w:val="left" w:pos="0"/>
        </w:tabs>
        <w:ind w:left="0" w:firstLine="0"/>
      </w:pPr>
      <w:rPr>
        <w:rFonts w:hint="eastAsia" w:ascii="黑体" w:hAnsi="宋体" w:eastAsia="黑体" w:cs="黑体"/>
        <w:b w:val="0"/>
        <w:i w:val="0"/>
        <w:sz w:val="21"/>
        <w:szCs w:val="21"/>
      </w:rPr>
    </w:lvl>
    <w:lvl w:ilvl="7" w:tentative="0">
      <w:start w:val="1"/>
      <w:numFmt w:val="decimal"/>
      <w:lvlText w:val="%1.%2.%3.%4.%5.%6.%7.%8"/>
      <w:lvlJc w:val="left"/>
      <w:pPr>
        <w:tabs>
          <w:tab w:val="left" w:pos="4351"/>
        </w:tabs>
        <w:ind w:left="3969" w:hanging="1418"/>
      </w:pPr>
      <w:rPr>
        <w:rFonts w:hint="eastAsia" w:ascii="宋体" w:hAnsi="宋体" w:eastAsia="宋体" w:cs="宋体"/>
      </w:rPr>
    </w:lvl>
    <w:lvl w:ilvl="8" w:tentative="0">
      <w:start w:val="1"/>
      <w:numFmt w:val="decimal"/>
      <w:lvlText w:val="%1.%2.%3.%4.%5.%6.%7.%8.%9"/>
      <w:lvlJc w:val="left"/>
      <w:pPr>
        <w:tabs>
          <w:tab w:val="left" w:pos="4777"/>
        </w:tabs>
        <w:ind w:left="4677" w:hanging="1700"/>
      </w:pPr>
      <w:rPr>
        <w:rFonts w:hint="eastAsia" w:ascii="宋体" w:hAnsi="宋体" w:eastAsia="宋体" w:cs="宋体"/>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66333A"/>
    <w:rsid w:val="15C337F1"/>
    <w:rsid w:val="1766333A"/>
    <w:rsid w:val="66657FC0"/>
    <w:rsid w:val="70562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header"/>
    <w:qFormat/>
    <w:uiPriority w:val="99"/>
    <w:pPr>
      <w:widowControl w:val="0"/>
      <w:pBdr>
        <w:bottom w:val="single" w:color="auto" w:sz="6" w:space="1"/>
      </w:pBdr>
      <w:snapToGrid w:val="0"/>
      <w:jc w:val="center"/>
    </w:pPr>
    <w:rPr>
      <w:rFonts w:hint="eastAsia" w:ascii="黑体" w:hAnsi="宋体" w:eastAsia="黑体" w:cs="Times New Roman"/>
      <w:kern w:val="2"/>
      <w:sz w:val="18"/>
      <w:szCs w:val="18"/>
      <w:lang w:val="en-US" w:eastAsia="zh-CN" w:bidi="ar-SA"/>
    </w:rPr>
  </w:style>
  <w:style w:type="paragraph" w:styleId="3">
    <w:name w:val="Normal (Web)"/>
    <w:qFormat/>
    <w:uiPriority w:val="0"/>
    <w:pPr>
      <w:widowControl/>
      <w:spacing w:beforeAutospacing="1" w:afterAutospacing="1"/>
      <w:jc w:val="left"/>
    </w:pPr>
    <w:rPr>
      <w:rFonts w:ascii="宋体" w:hAnsi="宋体" w:eastAsia="宋体" w:cs="Times New Roman"/>
      <w:kern w:val="0"/>
      <w:sz w:val="24"/>
      <w:szCs w:val="24"/>
      <w:lang w:val="en-US" w:eastAsia="zh-CN" w:bidi="ar-SA"/>
    </w:rPr>
  </w:style>
  <w:style w:type="paragraph" w:customStyle="1" w:styleId="6">
    <w:name w:val="段"/>
    <w:qFormat/>
    <w:uiPriority w:val="0"/>
    <w:pPr>
      <w:autoSpaceDE w:val="0"/>
      <w:autoSpaceDN w:val="0"/>
      <w:ind w:firstLine="200" w:firstLineChars="200"/>
      <w:jc w:val="both"/>
    </w:pPr>
    <w:rPr>
      <w:rFonts w:ascii="宋体" w:hAnsiTheme="minorHAnsi" w:eastAsiaTheme="minorEastAsia" w:cstheme="minorBidi"/>
      <w:sz w:val="21"/>
      <w:szCs w:val="22"/>
      <w:lang w:val="en-US" w:eastAsia="zh-CN" w:bidi="ar-SA"/>
    </w:rPr>
  </w:style>
  <w:style w:type="paragraph" w:customStyle="1" w:styleId="7">
    <w:name w:val="三级条标题"/>
    <w:next w:val="6"/>
    <w:qFormat/>
    <w:uiPriority w:val="0"/>
    <w:pPr>
      <w:numPr>
        <w:ilvl w:val="3"/>
        <w:numId w:val="1"/>
      </w:numPr>
      <w:tabs>
        <w:tab w:val="left" w:pos="0"/>
      </w:tabs>
      <w:spacing w:beforeLines="0" w:afterLines="0"/>
      <w:jc w:val="both"/>
      <w:outlineLvl w:val="4"/>
    </w:pPr>
    <w:rPr>
      <w:rFonts w:hint="eastAsia" w:ascii="黑体" w:hAnsi="宋体" w:eastAsia="黑体" w:cs="Times New Roman"/>
      <w:sz w:val="21"/>
      <w:szCs w:val="21"/>
      <w:lang w:val="en-US" w:eastAsia="zh-CN" w:bidi="ar-SA"/>
    </w:rPr>
  </w:style>
  <w:style w:type="paragraph" w:customStyle="1" w:styleId="8">
    <w:name w:val="二级条标题"/>
    <w:next w:val="6"/>
    <w:qFormat/>
    <w:uiPriority w:val="0"/>
    <w:pPr>
      <w:numPr>
        <w:ilvl w:val="3"/>
        <w:numId w:val="1"/>
      </w:numPr>
      <w:tabs>
        <w:tab w:val="left" w:pos="0"/>
      </w:tabs>
      <w:spacing w:beforeLines="0" w:afterLines="0"/>
      <w:jc w:val="both"/>
      <w:outlineLvl w:val="3"/>
    </w:pPr>
    <w:rPr>
      <w:rFonts w:ascii="黑体" w:eastAsia="黑体" w:hAnsiTheme="minorHAnsi" w:cstheme="minorBidi"/>
      <w:sz w:val="21"/>
      <w:szCs w:val="22"/>
      <w:lang w:val="en-US" w:eastAsia="zh-CN" w:bidi="ar-SA"/>
    </w:rPr>
  </w:style>
  <w:style w:type="paragraph" w:customStyle="1" w:styleId="9">
    <w:name w:val="一级条标题"/>
    <w:next w:val="6"/>
    <w:qFormat/>
    <w:uiPriority w:val="0"/>
    <w:pPr>
      <w:numPr>
        <w:ilvl w:val="2"/>
        <w:numId w:val="1"/>
      </w:numPr>
      <w:spacing w:beforeLines="0" w:afterLines="0"/>
      <w:jc w:val="both"/>
      <w:outlineLvl w:val="2"/>
    </w:pPr>
    <w:rPr>
      <w:rFonts w:ascii="黑体" w:eastAsia="黑体" w:hAnsiTheme="minorHAnsi" w:cstheme="minorBidi"/>
      <w:sz w:val="21"/>
      <w:szCs w:val="22"/>
      <w:lang w:val="en-US" w:eastAsia="zh-CN" w:bidi="ar-SA"/>
    </w:rPr>
  </w:style>
  <w:style w:type="paragraph" w:customStyle="1" w:styleId="10">
    <w:name w:val="章标题"/>
    <w:next w:val="6"/>
    <w:qFormat/>
    <w:uiPriority w:val="0"/>
    <w:pPr>
      <w:numPr>
        <w:ilvl w:val="1"/>
        <w:numId w:val="1"/>
      </w:numPr>
      <w:spacing w:beforeLines="50" w:afterLines="50"/>
      <w:jc w:val="both"/>
      <w:outlineLvl w:val="1"/>
    </w:pPr>
    <w:rPr>
      <w:rFonts w:ascii="黑体" w:eastAsia="黑体" w:hAnsiTheme="minorHAnsi" w:cstheme="minorBidi"/>
      <w:sz w:val="21"/>
      <w:szCs w:val="22"/>
      <w:lang w:val="en-US" w:eastAsia="zh-CN" w:bidi="ar-SA"/>
    </w:rPr>
  </w:style>
  <w:style w:type="paragraph" w:customStyle="1" w:styleId="11">
    <w:name w:val="四级条标题"/>
    <w:qFormat/>
    <w:uiPriority w:val="0"/>
    <w:pPr>
      <w:numPr>
        <w:ilvl w:val="3"/>
        <w:numId w:val="1"/>
      </w:numPr>
      <w:spacing w:beforeLines="0" w:afterLines="0"/>
      <w:ind w:left="0"/>
      <w:jc w:val="both"/>
      <w:outlineLvl w:val="5"/>
    </w:pPr>
    <w:rPr>
      <w:rFonts w:hint="eastAsia" w:ascii="黑体" w:hAnsi="宋体"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2020-10-12T05:56:00Z</dcterms:created>
  <dc:creator>admin</dc:creator>
  <cp:lastModifiedBy>admin</cp:lastModifiedBy>
  <dcterms:modified xsi:type="dcterms:W3CDTF">2020-10-12T06:18:45Z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