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河北农业大学大型仪器设备年度管理和使用效益评价表（表3）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〔学院（中心、处、所）填报〕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20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年）</w:t>
      </w:r>
    </w:p>
    <w:p>
      <w:pPr>
        <w:rPr>
          <w:rFonts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单位（盖章）：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填报人：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主管领导（签字）：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填报日期：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536"/>
        <w:gridCol w:w="85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评价指标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评价办法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使用绩 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机时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表2“机时利用”加权得分合计数/院级平台仪器设备台件数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共享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表2“社会服务”加权得分合计数/院级平台仪器设备台件数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表2“人才培养”加权得分合计数/院级平台仪器设备台件数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功能利用与开发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表2“功能开发与利用”加权得分合计数/院级平台仪器设备台件数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教学科研成果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表2“教学科研成果”加权得分合计数/院级平台仪器设备台件数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使用管理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表2“使用管理”加权得分合计数/院级平台仪器设备台件数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53"/>
    <w:rsid w:val="00002C3B"/>
    <w:rsid w:val="0063793E"/>
    <w:rsid w:val="00806AB5"/>
    <w:rsid w:val="00B37653"/>
    <w:rsid w:val="64E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2019-04-09T02:25:00Z</dcterms:created>
  <dc:creator>syl</dc:creator>
  <cp:lastModifiedBy>爱吃萝卜的兔子</cp:lastModifiedBy>
  <dcterms:modified xsi:type="dcterms:W3CDTF">2021-03-11T07:56:37Z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